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06" w:rsidRDefault="00B5406D" w:rsidP="00B5406D">
      <w:pPr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3000375" cy="3000375"/>
            <wp:effectExtent l="0" t="0" r="9525" b="9525"/>
            <wp:docPr id="3" name="Picture 3" descr="\\scotland.gov.uk\dc1\FS6_Home\n415057\Logos\dualSGstacked_Col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otland.gov.uk\dc1\FS6_Home\n415057\Logos\dualSGstacked_Col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06" w:rsidRDefault="007D5406" w:rsidP="00E36759">
      <w:pPr>
        <w:rPr>
          <w:b/>
          <w:sz w:val="36"/>
          <w:szCs w:val="36"/>
        </w:rPr>
      </w:pPr>
    </w:p>
    <w:p w:rsidR="007D5406" w:rsidRDefault="007D5406" w:rsidP="00E36759">
      <w:pPr>
        <w:rPr>
          <w:b/>
          <w:sz w:val="36"/>
          <w:szCs w:val="36"/>
        </w:rPr>
      </w:pPr>
    </w:p>
    <w:p w:rsidR="00B5406D" w:rsidRDefault="00B5406D" w:rsidP="000143DF">
      <w:pPr>
        <w:jc w:val="center"/>
        <w:rPr>
          <w:b/>
          <w:sz w:val="36"/>
          <w:szCs w:val="36"/>
        </w:rPr>
      </w:pPr>
    </w:p>
    <w:p w:rsidR="00B5406D" w:rsidRDefault="00B5406D" w:rsidP="000143DF">
      <w:pPr>
        <w:jc w:val="center"/>
        <w:rPr>
          <w:b/>
          <w:sz w:val="52"/>
          <w:szCs w:val="52"/>
        </w:rPr>
      </w:pPr>
    </w:p>
    <w:p w:rsidR="00B86B76" w:rsidRDefault="00B86B76" w:rsidP="000143D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National </w:t>
      </w:r>
      <w:r w:rsidR="00A70F91" w:rsidRPr="00F05901">
        <w:rPr>
          <w:b/>
          <w:sz w:val="52"/>
          <w:szCs w:val="52"/>
        </w:rPr>
        <w:t xml:space="preserve">eInvoicing </w:t>
      </w:r>
      <w:r w:rsidR="004B2146" w:rsidRPr="00F05901">
        <w:rPr>
          <w:b/>
          <w:sz w:val="52"/>
          <w:szCs w:val="52"/>
        </w:rPr>
        <w:t xml:space="preserve">Solution </w:t>
      </w:r>
    </w:p>
    <w:p w:rsidR="00B86B76" w:rsidRDefault="00B86B76" w:rsidP="000143DF">
      <w:pPr>
        <w:jc w:val="center"/>
        <w:rPr>
          <w:b/>
          <w:sz w:val="52"/>
          <w:szCs w:val="52"/>
        </w:rPr>
      </w:pPr>
    </w:p>
    <w:p w:rsidR="00E3599D" w:rsidRPr="00F05901" w:rsidRDefault="00A70F91" w:rsidP="000143DF">
      <w:pPr>
        <w:jc w:val="center"/>
        <w:rPr>
          <w:b/>
          <w:sz w:val="52"/>
          <w:szCs w:val="52"/>
        </w:rPr>
      </w:pPr>
      <w:r w:rsidRPr="00F05901">
        <w:rPr>
          <w:b/>
          <w:sz w:val="52"/>
          <w:szCs w:val="52"/>
        </w:rPr>
        <w:t>Supplier Guidance</w:t>
      </w: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7904CD" w:rsidRDefault="007904CD" w:rsidP="00E36759">
      <w:pPr>
        <w:rPr>
          <w:b/>
          <w:sz w:val="36"/>
          <w:szCs w:val="36"/>
        </w:rPr>
      </w:pPr>
    </w:p>
    <w:p w:rsidR="007904CD" w:rsidRDefault="007904CD" w:rsidP="00E36759">
      <w:pPr>
        <w:rPr>
          <w:b/>
          <w:sz w:val="36"/>
          <w:szCs w:val="36"/>
        </w:rPr>
      </w:pPr>
    </w:p>
    <w:p w:rsidR="007904CD" w:rsidRDefault="007904CD" w:rsidP="00E36759">
      <w:pPr>
        <w:rPr>
          <w:b/>
          <w:sz w:val="36"/>
          <w:szCs w:val="36"/>
        </w:rPr>
      </w:pPr>
    </w:p>
    <w:p w:rsidR="00A70F91" w:rsidRDefault="00A70F91" w:rsidP="00E36759">
      <w:pPr>
        <w:rPr>
          <w:b/>
          <w:sz w:val="36"/>
          <w:szCs w:val="36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  <w:lang w:val="en-GB" w:eastAsia="en-US"/>
        </w:rPr>
        <w:id w:val="-167109339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904CD" w:rsidRDefault="007904CD">
          <w:pPr>
            <w:pStyle w:val="TOCHeading"/>
          </w:pPr>
          <w:r>
            <w:t>Contents</w:t>
          </w:r>
        </w:p>
        <w:p w:rsidR="00056BDA" w:rsidRPr="0092012A" w:rsidRDefault="00056BDA" w:rsidP="0092012A"/>
        <w:p w:rsidR="00056BDA" w:rsidRPr="0092012A" w:rsidRDefault="0041017F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en-GB"/>
            </w:rPr>
          </w:pPr>
          <w:r w:rsidRPr="0041017F">
            <w:rPr>
              <w:b/>
            </w:rPr>
            <w:fldChar w:fldCharType="begin"/>
          </w:r>
          <w:r w:rsidR="007904CD" w:rsidRPr="0092012A">
            <w:rPr>
              <w:b/>
            </w:rPr>
            <w:instrText xml:space="preserve"> TOC \o "1-3" \h \z \u </w:instrText>
          </w:r>
          <w:r w:rsidRPr="0041017F">
            <w:rPr>
              <w:b/>
            </w:rPr>
            <w:fldChar w:fldCharType="separate"/>
          </w:r>
          <w:hyperlink w:anchor="_Toc431453286" w:history="1">
            <w:r w:rsidR="00056BDA" w:rsidRPr="00056BDA">
              <w:rPr>
                <w:rStyle w:val="Hyperlink"/>
                <w:b/>
                <w:noProof/>
              </w:rPr>
              <w:t>1.</w:t>
            </w:r>
            <w:r w:rsidR="00056BDA" w:rsidRPr="0092012A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en-GB"/>
              </w:rPr>
              <w:tab/>
            </w:r>
            <w:r w:rsidR="00056BDA" w:rsidRPr="00056BDA">
              <w:rPr>
                <w:rStyle w:val="Hyperlink"/>
                <w:b/>
                <w:noProof/>
              </w:rPr>
              <w:t>Background</w:t>
            </w:r>
            <w:r w:rsidR="00056BDA" w:rsidRPr="0092012A">
              <w:rPr>
                <w:b/>
                <w:noProof/>
                <w:webHidden/>
              </w:rPr>
              <w:tab/>
            </w:r>
            <w:r w:rsidRPr="0092012A">
              <w:rPr>
                <w:b/>
                <w:noProof/>
                <w:webHidden/>
              </w:rPr>
              <w:fldChar w:fldCharType="begin"/>
            </w:r>
            <w:r w:rsidR="00056BDA" w:rsidRPr="0092012A">
              <w:rPr>
                <w:b/>
                <w:noProof/>
                <w:webHidden/>
              </w:rPr>
              <w:instrText xml:space="preserve"> PAGEREF _Toc431453286 \h </w:instrText>
            </w:r>
            <w:r w:rsidRPr="0092012A">
              <w:rPr>
                <w:b/>
                <w:noProof/>
                <w:webHidden/>
              </w:rPr>
            </w:r>
            <w:r w:rsidRPr="0092012A">
              <w:rPr>
                <w:b/>
                <w:noProof/>
                <w:webHidden/>
              </w:rPr>
              <w:fldChar w:fldCharType="separate"/>
            </w:r>
            <w:r w:rsidR="00FF1330">
              <w:rPr>
                <w:b/>
                <w:noProof/>
                <w:webHidden/>
              </w:rPr>
              <w:t>3</w:t>
            </w:r>
            <w:r w:rsidRPr="0092012A">
              <w:rPr>
                <w:b/>
                <w:noProof/>
                <w:webHidden/>
              </w:rPr>
              <w:fldChar w:fldCharType="end"/>
            </w:r>
          </w:hyperlink>
        </w:p>
        <w:p w:rsidR="00056BDA" w:rsidRPr="0092012A" w:rsidRDefault="0041017F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en-GB"/>
            </w:rPr>
          </w:pPr>
          <w:hyperlink w:anchor="_Toc431453287" w:history="1">
            <w:r w:rsidR="00056BDA" w:rsidRPr="00056BDA">
              <w:rPr>
                <w:rStyle w:val="Hyperlink"/>
                <w:b/>
                <w:noProof/>
              </w:rPr>
              <w:t>2.</w:t>
            </w:r>
            <w:r w:rsidR="00056BDA" w:rsidRPr="0092012A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en-GB"/>
              </w:rPr>
              <w:tab/>
            </w:r>
            <w:r w:rsidR="00056BDA" w:rsidRPr="00056BDA">
              <w:rPr>
                <w:rStyle w:val="Hyperlink"/>
                <w:b/>
                <w:noProof/>
              </w:rPr>
              <w:t>The Scottish Government’s eInvoicing Solution</w:t>
            </w:r>
            <w:r w:rsidR="00056BDA" w:rsidRPr="0092012A">
              <w:rPr>
                <w:b/>
                <w:noProof/>
                <w:webHidden/>
              </w:rPr>
              <w:tab/>
            </w:r>
            <w:r w:rsidRPr="0092012A">
              <w:rPr>
                <w:b/>
                <w:noProof/>
                <w:webHidden/>
              </w:rPr>
              <w:fldChar w:fldCharType="begin"/>
            </w:r>
            <w:r w:rsidR="00056BDA" w:rsidRPr="0092012A">
              <w:rPr>
                <w:b/>
                <w:noProof/>
                <w:webHidden/>
              </w:rPr>
              <w:instrText xml:space="preserve"> PAGEREF _Toc431453287 \h </w:instrText>
            </w:r>
            <w:r w:rsidRPr="0092012A">
              <w:rPr>
                <w:b/>
                <w:noProof/>
                <w:webHidden/>
              </w:rPr>
            </w:r>
            <w:r w:rsidRPr="0092012A">
              <w:rPr>
                <w:b/>
                <w:noProof/>
                <w:webHidden/>
              </w:rPr>
              <w:fldChar w:fldCharType="separate"/>
            </w:r>
            <w:r w:rsidR="00FF1330">
              <w:rPr>
                <w:b/>
                <w:noProof/>
                <w:webHidden/>
              </w:rPr>
              <w:t>3</w:t>
            </w:r>
            <w:r w:rsidRPr="0092012A">
              <w:rPr>
                <w:b/>
                <w:noProof/>
                <w:webHidden/>
              </w:rPr>
              <w:fldChar w:fldCharType="end"/>
            </w:r>
          </w:hyperlink>
        </w:p>
        <w:p w:rsidR="00056BDA" w:rsidRPr="0092012A" w:rsidRDefault="0041017F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en-GB"/>
            </w:rPr>
          </w:pPr>
          <w:hyperlink w:anchor="_Toc431453288" w:history="1">
            <w:r w:rsidR="00056BDA" w:rsidRPr="00056BDA">
              <w:rPr>
                <w:rStyle w:val="Hyperlink"/>
                <w:b/>
                <w:noProof/>
              </w:rPr>
              <w:t>3.</w:t>
            </w:r>
            <w:r w:rsidR="00056BDA" w:rsidRPr="0092012A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en-GB"/>
              </w:rPr>
              <w:tab/>
            </w:r>
            <w:r w:rsidR="00056BDA" w:rsidRPr="00056BDA">
              <w:rPr>
                <w:rStyle w:val="Hyperlink"/>
                <w:b/>
                <w:noProof/>
              </w:rPr>
              <w:t>Benefits of eInvoicing</w:t>
            </w:r>
            <w:r w:rsidR="00056BDA" w:rsidRPr="0092012A">
              <w:rPr>
                <w:b/>
                <w:noProof/>
                <w:webHidden/>
              </w:rPr>
              <w:tab/>
            </w:r>
            <w:r w:rsidRPr="0092012A">
              <w:rPr>
                <w:b/>
                <w:noProof/>
                <w:webHidden/>
              </w:rPr>
              <w:fldChar w:fldCharType="begin"/>
            </w:r>
            <w:r w:rsidR="00056BDA" w:rsidRPr="0092012A">
              <w:rPr>
                <w:b/>
                <w:noProof/>
                <w:webHidden/>
              </w:rPr>
              <w:instrText xml:space="preserve"> PAGEREF _Toc431453288 \h </w:instrText>
            </w:r>
            <w:r w:rsidRPr="0092012A">
              <w:rPr>
                <w:b/>
                <w:noProof/>
                <w:webHidden/>
              </w:rPr>
            </w:r>
            <w:r w:rsidRPr="0092012A">
              <w:rPr>
                <w:b/>
                <w:noProof/>
                <w:webHidden/>
              </w:rPr>
              <w:fldChar w:fldCharType="separate"/>
            </w:r>
            <w:r w:rsidR="00FF1330">
              <w:rPr>
                <w:b/>
                <w:noProof/>
                <w:webHidden/>
              </w:rPr>
              <w:t>4</w:t>
            </w:r>
            <w:r w:rsidRPr="0092012A">
              <w:rPr>
                <w:b/>
                <w:noProof/>
                <w:webHidden/>
              </w:rPr>
              <w:fldChar w:fldCharType="end"/>
            </w:r>
          </w:hyperlink>
        </w:p>
        <w:p w:rsidR="00056BDA" w:rsidRPr="0092012A" w:rsidRDefault="0041017F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en-GB"/>
            </w:rPr>
          </w:pPr>
          <w:hyperlink w:anchor="_Toc431453289" w:history="1">
            <w:r w:rsidR="00056BDA" w:rsidRPr="00056BDA">
              <w:rPr>
                <w:rStyle w:val="Hyperlink"/>
                <w:b/>
                <w:noProof/>
              </w:rPr>
              <w:t>4.</w:t>
            </w:r>
            <w:r w:rsidR="00056BDA" w:rsidRPr="0092012A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en-GB"/>
              </w:rPr>
              <w:tab/>
            </w:r>
            <w:r w:rsidR="00056BDA" w:rsidRPr="00056BDA">
              <w:rPr>
                <w:rStyle w:val="Hyperlink"/>
                <w:b/>
                <w:noProof/>
              </w:rPr>
              <w:t>eInvoice - Supplier Requirements</w:t>
            </w:r>
            <w:r w:rsidR="00056BDA" w:rsidRPr="0092012A">
              <w:rPr>
                <w:b/>
                <w:noProof/>
                <w:webHidden/>
              </w:rPr>
              <w:tab/>
            </w:r>
            <w:r w:rsidRPr="0092012A">
              <w:rPr>
                <w:b/>
                <w:noProof/>
                <w:webHidden/>
              </w:rPr>
              <w:fldChar w:fldCharType="begin"/>
            </w:r>
            <w:r w:rsidR="00056BDA" w:rsidRPr="0092012A">
              <w:rPr>
                <w:b/>
                <w:noProof/>
                <w:webHidden/>
              </w:rPr>
              <w:instrText xml:space="preserve"> PAGEREF _Toc431453289 \h </w:instrText>
            </w:r>
            <w:r w:rsidRPr="0092012A">
              <w:rPr>
                <w:b/>
                <w:noProof/>
                <w:webHidden/>
              </w:rPr>
            </w:r>
            <w:r w:rsidRPr="0092012A">
              <w:rPr>
                <w:b/>
                <w:noProof/>
                <w:webHidden/>
              </w:rPr>
              <w:fldChar w:fldCharType="separate"/>
            </w:r>
            <w:r w:rsidR="00FF1330">
              <w:rPr>
                <w:b/>
                <w:noProof/>
                <w:webHidden/>
              </w:rPr>
              <w:t>4</w:t>
            </w:r>
            <w:r w:rsidRPr="0092012A">
              <w:rPr>
                <w:b/>
                <w:noProof/>
                <w:webHidden/>
              </w:rPr>
              <w:fldChar w:fldCharType="end"/>
            </w:r>
          </w:hyperlink>
        </w:p>
        <w:p w:rsidR="00056BDA" w:rsidRPr="0092012A" w:rsidRDefault="0041017F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en-GB"/>
            </w:rPr>
          </w:pPr>
          <w:hyperlink w:anchor="_Toc431453290" w:history="1">
            <w:r w:rsidR="00056BDA" w:rsidRPr="00056BDA">
              <w:rPr>
                <w:rStyle w:val="Hyperlink"/>
                <w:b/>
                <w:noProof/>
              </w:rPr>
              <w:t>5.</w:t>
            </w:r>
            <w:r w:rsidR="00056BDA" w:rsidRPr="0092012A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en-GB"/>
              </w:rPr>
              <w:tab/>
            </w:r>
            <w:r w:rsidR="00056BDA" w:rsidRPr="00056BDA">
              <w:rPr>
                <w:rStyle w:val="Hyperlink"/>
                <w:b/>
                <w:noProof/>
              </w:rPr>
              <w:t>Core elements of an eInvoice</w:t>
            </w:r>
            <w:r w:rsidR="00056BDA" w:rsidRPr="0092012A">
              <w:rPr>
                <w:b/>
                <w:noProof/>
                <w:webHidden/>
              </w:rPr>
              <w:tab/>
            </w:r>
            <w:r w:rsidRPr="0092012A">
              <w:rPr>
                <w:b/>
                <w:noProof/>
                <w:webHidden/>
              </w:rPr>
              <w:fldChar w:fldCharType="begin"/>
            </w:r>
            <w:r w:rsidR="00056BDA" w:rsidRPr="0092012A">
              <w:rPr>
                <w:b/>
                <w:noProof/>
                <w:webHidden/>
              </w:rPr>
              <w:instrText xml:space="preserve"> PAGEREF _Toc431453290 \h </w:instrText>
            </w:r>
            <w:r w:rsidRPr="0092012A">
              <w:rPr>
                <w:b/>
                <w:noProof/>
                <w:webHidden/>
              </w:rPr>
            </w:r>
            <w:r w:rsidRPr="0092012A">
              <w:rPr>
                <w:b/>
                <w:noProof/>
                <w:webHidden/>
              </w:rPr>
              <w:fldChar w:fldCharType="separate"/>
            </w:r>
            <w:r w:rsidR="00FF1330">
              <w:rPr>
                <w:b/>
                <w:noProof/>
                <w:webHidden/>
              </w:rPr>
              <w:t>5</w:t>
            </w:r>
            <w:r w:rsidRPr="0092012A">
              <w:rPr>
                <w:b/>
                <w:noProof/>
                <w:webHidden/>
              </w:rPr>
              <w:fldChar w:fldCharType="end"/>
            </w:r>
          </w:hyperlink>
        </w:p>
        <w:p w:rsidR="00056BDA" w:rsidRPr="0092012A" w:rsidRDefault="0041017F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en-GB"/>
            </w:rPr>
          </w:pPr>
          <w:hyperlink w:anchor="_Toc431453291" w:history="1">
            <w:r w:rsidR="00056BDA" w:rsidRPr="00056BDA">
              <w:rPr>
                <w:rStyle w:val="Hyperlink"/>
                <w:b/>
                <w:noProof/>
              </w:rPr>
              <w:t>6.</w:t>
            </w:r>
            <w:r w:rsidR="00056BDA" w:rsidRPr="0092012A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en-GB"/>
              </w:rPr>
              <w:tab/>
            </w:r>
            <w:r w:rsidR="00056BDA" w:rsidRPr="00056BDA">
              <w:rPr>
                <w:rStyle w:val="Hyperlink"/>
                <w:b/>
                <w:noProof/>
              </w:rPr>
              <w:t>Further Information</w:t>
            </w:r>
            <w:r w:rsidR="00056BDA" w:rsidRPr="0092012A">
              <w:rPr>
                <w:b/>
                <w:noProof/>
                <w:webHidden/>
              </w:rPr>
              <w:tab/>
            </w:r>
            <w:r w:rsidRPr="0092012A">
              <w:rPr>
                <w:b/>
                <w:noProof/>
                <w:webHidden/>
              </w:rPr>
              <w:fldChar w:fldCharType="begin"/>
            </w:r>
            <w:r w:rsidR="00056BDA" w:rsidRPr="0092012A">
              <w:rPr>
                <w:b/>
                <w:noProof/>
                <w:webHidden/>
              </w:rPr>
              <w:instrText xml:space="preserve"> PAGEREF _Toc431453291 \h </w:instrText>
            </w:r>
            <w:r w:rsidRPr="0092012A">
              <w:rPr>
                <w:b/>
                <w:noProof/>
                <w:webHidden/>
              </w:rPr>
            </w:r>
            <w:r w:rsidRPr="0092012A">
              <w:rPr>
                <w:b/>
                <w:noProof/>
                <w:webHidden/>
              </w:rPr>
              <w:fldChar w:fldCharType="separate"/>
            </w:r>
            <w:r w:rsidR="00FF1330">
              <w:rPr>
                <w:b/>
                <w:noProof/>
                <w:webHidden/>
              </w:rPr>
              <w:t>5</w:t>
            </w:r>
            <w:r w:rsidRPr="0092012A">
              <w:rPr>
                <w:b/>
                <w:noProof/>
                <w:webHidden/>
              </w:rPr>
              <w:fldChar w:fldCharType="end"/>
            </w:r>
          </w:hyperlink>
        </w:p>
        <w:p w:rsidR="00E2735A" w:rsidRDefault="00E2735A">
          <w:pPr>
            <w:pStyle w:val="TOC1"/>
            <w:tabs>
              <w:tab w:val="right" w:pos="9016"/>
            </w:tabs>
            <w:rPr>
              <w:rStyle w:val="Hyperlink"/>
              <w:b/>
              <w:noProof/>
            </w:rPr>
          </w:pPr>
        </w:p>
        <w:p w:rsidR="00056BDA" w:rsidRPr="0092012A" w:rsidRDefault="0041017F">
          <w:pPr>
            <w:pStyle w:val="TOC1"/>
            <w:tabs>
              <w:tab w:val="right" w:pos="9016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en-GB"/>
            </w:rPr>
          </w:pPr>
          <w:hyperlink w:anchor="_Toc431453292" w:history="1">
            <w:r w:rsidR="00056BDA" w:rsidRPr="00056BDA">
              <w:rPr>
                <w:rStyle w:val="Hyperlink"/>
                <w:b/>
                <w:noProof/>
              </w:rPr>
              <w:t>Annex A</w:t>
            </w:r>
            <w:r w:rsidR="00056BDA" w:rsidRPr="0092012A">
              <w:rPr>
                <w:b/>
                <w:noProof/>
                <w:webHidden/>
              </w:rPr>
              <w:tab/>
            </w:r>
            <w:r w:rsidRPr="0092012A">
              <w:rPr>
                <w:b/>
                <w:noProof/>
                <w:webHidden/>
              </w:rPr>
              <w:fldChar w:fldCharType="begin"/>
            </w:r>
            <w:r w:rsidR="00056BDA" w:rsidRPr="0092012A">
              <w:rPr>
                <w:b/>
                <w:noProof/>
                <w:webHidden/>
              </w:rPr>
              <w:instrText xml:space="preserve"> PAGEREF _Toc431453292 \h </w:instrText>
            </w:r>
            <w:r w:rsidRPr="0092012A">
              <w:rPr>
                <w:b/>
                <w:noProof/>
                <w:webHidden/>
              </w:rPr>
            </w:r>
            <w:r w:rsidRPr="0092012A">
              <w:rPr>
                <w:b/>
                <w:noProof/>
                <w:webHidden/>
              </w:rPr>
              <w:fldChar w:fldCharType="separate"/>
            </w:r>
            <w:r w:rsidR="00FF1330">
              <w:rPr>
                <w:b/>
                <w:noProof/>
                <w:webHidden/>
              </w:rPr>
              <w:t>6</w:t>
            </w:r>
            <w:r w:rsidRPr="0092012A">
              <w:rPr>
                <w:b/>
                <w:noProof/>
                <w:webHidden/>
              </w:rPr>
              <w:fldChar w:fldCharType="end"/>
            </w:r>
          </w:hyperlink>
        </w:p>
        <w:p w:rsidR="007904CD" w:rsidRDefault="0041017F">
          <w:r w:rsidRPr="0092012A">
            <w:rPr>
              <w:b/>
              <w:bCs/>
              <w:noProof/>
            </w:rPr>
            <w:fldChar w:fldCharType="end"/>
          </w:r>
        </w:p>
      </w:sdtContent>
    </w:sdt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E36759">
      <w:pPr>
        <w:rPr>
          <w:b/>
          <w:szCs w:val="24"/>
        </w:rPr>
      </w:pPr>
    </w:p>
    <w:p w:rsidR="007904CD" w:rsidRDefault="007904CD" w:rsidP="00B5406D">
      <w:pPr>
        <w:jc w:val="left"/>
        <w:rPr>
          <w:b/>
          <w:szCs w:val="24"/>
        </w:rPr>
      </w:pPr>
    </w:p>
    <w:p w:rsidR="00F74C27" w:rsidRPr="00F05901" w:rsidRDefault="002B18DC" w:rsidP="00B5406D">
      <w:pPr>
        <w:pStyle w:val="Heading1"/>
        <w:jc w:val="left"/>
        <w:rPr>
          <w:b/>
        </w:rPr>
      </w:pPr>
      <w:bookmarkStart w:id="0" w:name="_Toc431453206"/>
      <w:bookmarkStart w:id="1" w:name="_Toc431453279"/>
      <w:bookmarkStart w:id="2" w:name="_Toc431453207"/>
      <w:bookmarkStart w:id="3" w:name="_Toc431453280"/>
      <w:bookmarkStart w:id="4" w:name="_Toc431453208"/>
      <w:bookmarkStart w:id="5" w:name="_Toc431453281"/>
      <w:bookmarkStart w:id="6" w:name="_Toc431453209"/>
      <w:bookmarkStart w:id="7" w:name="_Toc431453282"/>
      <w:bookmarkStart w:id="8" w:name="_Toc431453210"/>
      <w:bookmarkStart w:id="9" w:name="_Toc431453283"/>
      <w:bookmarkStart w:id="10" w:name="_Toc431453211"/>
      <w:bookmarkStart w:id="11" w:name="_Toc431453284"/>
      <w:bookmarkStart w:id="12" w:name="_Toc431453212"/>
      <w:bookmarkStart w:id="13" w:name="_Toc431453285"/>
      <w:bookmarkStart w:id="14" w:name="_Toc43145328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b/>
        </w:rPr>
        <w:t>B</w:t>
      </w:r>
      <w:r w:rsidR="00A70F91" w:rsidRPr="00F05901">
        <w:rPr>
          <w:b/>
        </w:rPr>
        <w:t>ackground</w:t>
      </w:r>
      <w:bookmarkEnd w:id="14"/>
    </w:p>
    <w:p w:rsidR="003572A9" w:rsidRDefault="003572A9" w:rsidP="00B5406D">
      <w:pPr>
        <w:jc w:val="left"/>
        <w:rPr>
          <w:b/>
          <w:szCs w:val="24"/>
        </w:rPr>
      </w:pPr>
    </w:p>
    <w:p w:rsidR="00F05901" w:rsidRDefault="00F05901" w:rsidP="00B5406D">
      <w:pPr>
        <w:jc w:val="left"/>
        <w:rPr>
          <w:b/>
          <w:szCs w:val="24"/>
        </w:rPr>
      </w:pPr>
      <w:r>
        <w:rPr>
          <w:szCs w:val="24"/>
        </w:rPr>
        <w:t>As eInvoicing will become the predominant method of invoicing, the Scottish Government is currently rolling out a national solution across the Scottish public sector.</w:t>
      </w:r>
    </w:p>
    <w:p w:rsidR="00F05901" w:rsidRDefault="00F05901" w:rsidP="00B5406D">
      <w:pPr>
        <w:jc w:val="left"/>
        <w:rPr>
          <w:b/>
          <w:szCs w:val="24"/>
        </w:rPr>
      </w:pPr>
    </w:p>
    <w:p w:rsidR="00F05901" w:rsidRDefault="00F05901" w:rsidP="00B5406D">
      <w:pPr>
        <w:jc w:val="left"/>
        <w:rPr>
          <w:szCs w:val="24"/>
        </w:rPr>
      </w:pPr>
      <w:r w:rsidRPr="00A70F91">
        <w:rPr>
          <w:szCs w:val="24"/>
        </w:rPr>
        <w:t xml:space="preserve">The key driver for the Scottish Government </w:t>
      </w:r>
      <w:r w:rsidR="00F02C5D">
        <w:rPr>
          <w:szCs w:val="24"/>
        </w:rPr>
        <w:t xml:space="preserve">deploying </w:t>
      </w:r>
      <w:r w:rsidRPr="00A70F91">
        <w:rPr>
          <w:szCs w:val="24"/>
        </w:rPr>
        <w:t xml:space="preserve"> an eInvoicing solut</w:t>
      </w:r>
      <w:r w:rsidR="00B5406D">
        <w:rPr>
          <w:szCs w:val="24"/>
        </w:rPr>
        <w:t xml:space="preserve">ion is the introduction of the </w:t>
      </w:r>
      <w:r w:rsidRPr="00A70F91">
        <w:rPr>
          <w:szCs w:val="24"/>
        </w:rPr>
        <w:t>EU</w:t>
      </w:r>
      <w:r w:rsidR="00F02C5D">
        <w:rPr>
          <w:szCs w:val="24"/>
        </w:rPr>
        <w:t xml:space="preserve"> eInvoicing</w:t>
      </w:r>
      <w:r w:rsidRPr="00A70F91">
        <w:rPr>
          <w:szCs w:val="24"/>
        </w:rPr>
        <w:t xml:space="preserve"> Directive</w:t>
      </w:r>
      <w:r>
        <w:rPr>
          <w:szCs w:val="24"/>
        </w:rPr>
        <w:t xml:space="preserve"> </w:t>
      </w:r>
      <w:r w:rsidR="006202DB">
        <w:rPr>
          <w:szCs w:val="24"/>
        </w:rPr>
        <w:t xml:space="preserve">which </w:t>
      </w:r>
      <w:r w:rsidRPr="00A70F91">
        <w:rPr>
          <w:szCs w:val="24"/>
        </w:rPr>
        <w:t>aim</w:t>
      </w:r>
      <w:r>
        <w:rPr>
          <w:szCs w:val="24"/>
        </w:rPr>
        <w:t>s</w:t>
      </w:r>
      <w:r w:rsidRPr="00A70F91">
        <w:rPr>
          <w:szCs w:val="24"/>
        </w:rPr>
        <w:t xml:space="preserve"> to achieve mandatory acceptance of eInvoices by all</w:t>
      </w:r>
      <w:r>
        <w:rPr>
          <w:szCs w:val="24"/>
        </w:rPr>
        <w:t xml:space="preserve"> </w:t>
      </w:r>
      <w:r w:rsidR="00F02C5D">
        <w:rPr>
          <w:szCs w:val="24"/>
        </w:rPr>
        <w:t xml:space="preserve">public sector bodies </w:t>
      </w:r>
      <w:r w:rsidRPr="00A70F91">
        <w:rPr>
          <w:szCs w:val="24"/>
        </w:rPr>
        <w:t xml:space="preserve"> by November 2019 at the latest.</w:t>
      </w:r>
    </w:p>
    <w:p w:rsidR="00F05901" w:rsidRDefault="00F05901" w:rsidP="00B5406D">
      <w:pPr>
        <w:jc w:val="left"/>
        <w:rPr>
          <w:szCs w:val="24"/>
        </w:rPr>
      </w:pPr>
    </w:p>
    <w:p w:rsidR="002B18DC" w:rsidRDefault="00F05901" w:rsidP="00B5406D">
      <w:pPr>
        <w:jc w:val="left"/>
        <w:rPr>
          <w:szCs w:val="24"/>
        </w:rPr>
      </w:pPr>
      <w:r>
        <w:rPr>
          <w:szCs w:val="24"/>
        </w:rPr>
        <w:t xml:space="preserve">The purpose of this guide is to provide </w:t>
      </w:r>
      <w:r w:rsidR="00F02C5D">
        <w:rPr>
          <w:szCs w:val="24"/>
        </w:rPr>
        <w:t>s</w:t>
      </w:r>
      <w:r w:rsidR="00F46F5F">
        <w:rPr>
          <w:szCs w:val="24"/>
        </w:rPr>
        <w:t>uppliers</w:t>
      </w:r>
      <w:r w:rsidR="00F02C5D">
        <w:rPr>
          <w:szCs w:val="24"/>
        </w:rPr>
        <w:t xml:space="preserve"> to the Scottish public sector </w:t>
      </w:r>
      <w:r>
        <w:rPr>
          <w:szCs w:val="24"/>
        </w:rPr>
        <w:t xml:space="preserve"> with the necessary information to ensure </w:t>
      </w:r>
      <w:r w:rsidR="00F02C5D">
        <w:rPr>
          <w:szCs w:val="24"/>
        </w:rPr>
        <w:t xml:space="preserve">that they </w:t>
      </w:r>
      <w:r>
        <w:rPr>
          <w:szCs w:val="24"/>
        </w:rPr>
        <w:t xml:space="preserve"> are aware of how to </w:t>
      </w:r>
      <w:r w:rsidR="00F02C5D">
        <w:rPr>
          <w:szCs w:val="24"/>
        </w:rPr>
        <w:t xml:space="preserve">issue </w:t>
      </w:r>
      <w:r>
        <w:rPr>
          <w:szCs w:val="24"/>
        </w:rPr>
        <w:t xml:space="preserve"> invoices via the </w:t>
      </w:r>
      <w:r w:rsidR="00F02C5D">
        <w:rPr>
          <w:szCs w:val="24"/>
        </w:rPr>
        <w:t xml:space="preserve">eInvoicing </w:t>
      </w:r>
      <w:r>
        <w:rPr>
          <w:szCs w:val="24"/>
        </w:rPr>
        <w:t>solution</w:t>
      </w:r>
      <w:r w:rsidR="00F46F5F">
        <w:rPr>
          <w:szCs w:val="24"/>
        </w:rPr>
        <w:t xml:space="preserve"> as well as </w:t>
      </w:r>
      <w:r>
        <w:rPr>
          <w:szCs w:val="24"/>
        </w:rPr>
        <w:t xml:space="preserve"> the </w:t>
      </w:r>
      <w:r w:rsidR="00F46F5F">
        <w:rPr>
          <w:szCs w:val="24"/>
        </w:rPr>
        <w:t xml:space="preserve"> </w:t>
      </w:r>
      <w:r>
        <w:rPr>
          <w:szCs w:val="24"/>
        </w:rPr>
        <w:t>format and content</w:t>
      </w:r>
      <w:r w:rsidR="00F46F5F">
        <w:rPr>
          <w:szCs w:val="24"/>
        </w:rPr>
        <w:t xml:space="preserve"> required</w:t>
      </w:r>
      <w:r>
        <w:rPr>
          <w:szCs w:val="24"/>
        </w:rPr>
        <w:t xml:space="preserve"> </w:t>
      </w:r>
      <w:r w:rsidR="007544A1">
        <w:rPr>
          <w:szCs w:val="24"/>
        </w:rPr>
        <w:t>for the eInvoice.</w:t>
      </w:r>
    </w:p>
    <w:p w:rsidR="003572A9" w:rsidRDefault="003572A9" w:rsidP="00B5406D">
      <w:pPr>
        <w:jc w:val="left"/>
        <w:rPr>
          <w:szCs w:val="24"/>
        </w:rPr>
      </w:pPr>
    </w:p>
    <w:p w:rsidR="003572A9" w:rsidRDefault="003572A9" w:rsidP="00B5406D">
      <w:pPr>
        <w:jc w:val="left"/>
        <w:rPr>
          <w:szCs w:val="24"/>
        </w:rPr>
      </w:pPr>
    </w:p>
    <w:p w:rsidR="008E1BAE" w:rsidRPr="00F05901" w:rsidRDefault="008E1BAE" w:rsidP="00B5406D">
      <w:pPr>
        <w:pStyle w:val="Heading1"/>
        <w:jc w:val="left"/>
        <w:rPr>
          <w:b/>
        </w:rPr>
      </w:pPr>
      <w:bookmarkStart w:id="15" w:name="_Toc431453287"/>
      <w:r w:rsidRPr="00F05901">
        <w:rPr>
          <w:b/>
        </w:rPr>
        <w:t>The Scottish Government’s eInvoicing Solution</w:t>
      </w:r>
      <w:bookmarkEnd w:id="15"/>
    </w:p>
    <w:p w:rsidR="004807E5" w:rsidRDefault="004807E5" w:rsidP="00B5406D">
      <w:pPr>
        <w:jc w:val="left"/>
        <w:rPr>
          <w:szCs w:val="24"/>
        </w:rPr>
      </w:pPr>
    </w:p>
    <w:p w:rsidR="00F05901" w:rsidRDefault="00F05901" w:rsidP="00B5406D">
      <w:pPr>
        <w:jc w:val="left"/>
        <w:rPr>
          <w:szCs w:val="24"/>
        </w:rPr>
      </w:pPr>
      <w:r>
        <w:rPr>
          <w:szCs w:val="24"/>
        </w:rPr>
        <w:t xml:space="preserve">The </w:t>
      </w:r>
      <w:r w:rsidRPr="0094484B">
        <w:rPr>
          <w:szCs w:val="24"/>
        </w:rPr>
        <w:t>Scottish Government</w:t>
      </w:r>
      <w:r w:rsidR="00B5406D">
        <w:rPr>
          <w:szCs w:val="24"/>
        </w:rPr>
        <w:t xml:space="preserve"> is delivering </w:t>
      </w:r>
      <w:r w:rsidRPr="0094484B">
        <w:rPr>
          <w:szCs w:val="24"/>
        </w:rPr>
        <w:t xml:space="preserve">eInvoicing capability through its national eCommerce Shared Service </w:t>
      </w:r>
      <w:r w:rsidR="007544A1">
        <w:rPr>
          <w:szCs w:val="24"/>
        </w:rPr>
        <w:t xml:space="preserve"> to</w:t>
      </w:r>
      <w:r w:rsidR="00B5406D">
        <w:rPr>
          <w:szCs w:val="24"/>
        </w:rPr>
        <w:t xml:space="preserve"> help </w:t>
      </w:r>
      <w:r w:rsidRPr="0094484B">
        <w:rPr>
          <w:szCs w:val="24"/>
        </w:rPr>
        <w:t xml:space="preserve">standardise eInvoicing </w:t>
      </w:r>
      <w:r w:rsidR="007544A1">
        <w:rPr>
          <w:szCs w:val="24"/>
        </w:rPr>
        <w:t>across the Scottish public sector</w:t>
      </w:r>
      <w:r>
        <w:rPr>
          <w:szCs w:val="24"/>
        </w:rPr>
        <w:t xml:space="preserve">. The eInvoicing solution went live in September 2014 after a successful pilot </w:t>
      </w:r>
      <w:r w:rsidR="00F02C5D">
        <w:rPr>
          <w:szCs w:val="24"/>
        </w:rPr>
        <w:t xml:space="preserve">project </w:t>
      </w:r>
      <w:r w:rsidR="007544A1">
        <w:rPr>
          <w:szCs w:val="24"/>
        </w:rPr>
        <w:t xml:space="preserve"> and is now being implemented by a number of public sector bodies</w:t>
      </w:r>
      <w:r>
        <w:rPr>
          <w:szCs w:val="24"/>
        </w:rPr>
        <w:t xml:space="preserve">. </w:t>
      </w:r>
    </w:p>
    <w:p w:rsidR="00F05901" w:rsidRDefault="00F05901" w:rsidP="00B5406D">
      <w:pPr>
        <w:jc w:val="left"/>
        <w:rPr>
          <w:szCs w:val="24"/>
        </w:rPr>
      </w:pPr>
    </w:p>
    <w:p w:rsidR="00F05901" w:rsidRDefault="00F05901" w:rsidP="00B5406D">
      <w:pPr>
        <w:jc w:val="left"/>
        <w:rPr>
          <w:szCs w:val="24"/>
        </w:rPr>
      </w:pPr>
      <w:r>
        <w:rPr>
          <w:szCs w:val="24"/>
        </w:rPr>
        <w:t>The solution is very straight forward and only requires that an invoice is sent to a unique email address</w:t>
      </w:r>
      <w:r w:rsidR="00F02C5D">
        <w:rPr>
          <w:szCs w:val="24"/>
        </w:rPr>
        <w:t xml:space="preserve"> set-up for each public sector body </w:t>
      </w:r>
      <w:r w:rsidR="00CB45EA">
        <w:rPr>
          <w:szCs w:val="24"/>
        </w:rPr>
        <w:t>who</w:t>
      </w:r>
      <w:r w:rsidR="00F02C5D">
        <w:rPr>
          <w:szCs w:val="24"/>
        </w:rPr>
        <w:t xml:space="preserve"> uses the eInvoicing solution</w:t>
      </w:r>
      <w:r>
        <w:rPr>
          <w:szCs w:val="24"/>
        </w:rPr>
        <w:t>. A variety of formats are supported, however, the most popular is PDF</w:t>
      </w:r>
      <w:r w:rsidR="00F46F5F">
        <w:rPr>
          <w:szCs w:val="24"/>
        </w:rPr>
        <w:t xml:space="preserve"> which </w:t>
      </w:r>
      <w:r>
        <w:rPr>
          <w:szCs w:val="24"/>
        </w:rPr>
        <w:t xml:space="preserve"> must be machine generated</w:t>
      </w:r>
      <w:r w:rsidR="002B18DC">
        <w:rPr>
          <w:szCs w:val="24"/>
        </w:rPr>
        <w:t>. T</w:t>
      </w:r>
      <w:r>
        <w:rPr>
          <w:szCs w:val="24"/>
        </w:rPr>
        <w:t>his means</w:t>
      </w:r>
      <w:r w:rsidR="00F02C5D">
        <w:rPr>
          <w:szCs w:val="24"/>
        </w:rPr>
        <w:t xml:space="preserve"> that the</w:t>
      </w:r>
      <w:r>
        <w:rPr>
          <w:szCs w:val="24"/>
        </w:rPr>
        <w:t xml:space="preserve">  invoice </w:t>
      </w:r>
      <w:r w:rsidR="00F02C5D">
        <w:rPr>
          <w:szCs w:val="24"/>
        </w:rPr>
        <w:t>must be  automatically</w:t>
      </w:r>
      <w:r>
        <w:rPr>
          <w:szCs w:val="24"/>
        </w:rPr>
        <w:t xml:space="preserve"> generated from your accounting package.  </w:t>
      </w:r>
    </w:p>
    <w:p w:rsidR="00F05901" w:rsidRDefault="00F05901" w:rsidP="00B5406D">
      <w:pPr>
        <w:jc w:val="left"/>
        <w:rPr>
          <w:szCs w:val="24"/>
        </w:rPr>
      </w:pPr>
    </w:p>
    <w:p w:rsidR="00CB1CBA" w:rsidRDefault="00F05901" w:rsidP="00B5406D">
      <w:pPr>
        <w:jc w:val="left"/>
        <w:rPr>
          <w:szCs w:val="24"/>
        </w:rPr>
      </w:pPr>
      <w:r>
        <w:rPr>
          <w:szCs w:val="24"/>
        </w:rPr>
        <w:t xml:space="preserve">The solution </w:t>
      </w:r>
      <w:r w:rsidR="00F46F5F">
        <w:rPr>
          <w:szCs w:val="24"/>
        </w:rPr>
        <w:t xml:space="preserve">retrieves invoices every couple of minutes from the </w:t>
      </w:r>
      <w:r w:rsidR="00CB45EA">
        <w:rPr>
          <w:szCs w:val="24"/>
        </w:rPr>
        <w:t xml:space="preserve">unique </w:t>
      </w:r>
      <w:r w:rsidR="00F46F5F">
        <w:rPr>
          <w:szCs w:val="24"/>
        </w:rPr>
        <w:t>email address,</w:t>
      </w:r>
      <w:r>
        <w:rPr>
          <w:szCs w:val="24"/>
        </w:rPr>
        <w:t xml:space="preserve"> reads the data embedded within the PDF and turns the data into an eInvoice. It then performs a number of validation checks before issuing it to the </w:t>
      </w:r>
      <w:r w:rsidR="00F02C5D">
        <w:rPr>
          <w:szCs w:val="24"/>
        </w:rPr>
        <w:t xml:space="preserve">public sector body </w:t>
      </w:r>
      <w:r w:rsidR="003007BB">
        <w:rPr>
          <w:szCs w:val="24"/>
        </w:rPr>
        <w:t xml:space="preserve"> </w:t>
      </w:r>
      <w:r>
        <w:rPr>
          <w:szCs w:val="24"/>
        </w:rPr>
        <w:t xml:space="preserve">for matching and payment. Rejected invoices are either sent </w:t>
      </w:r>
      <w:r w:rsidR="00F46F5F">
        <w:rPr>
          <w:szCs w:val="24"/>
        </w:rPr>
        <w:t xml:space="preserve">directly </w:t>
      </w:r>
      <w:r>
        <w:rPr>
          <w:szCs w:val="24"/>
        </w:rPr>
        <w:t xml:space="preserve">back to you the supplier or forwarded onto someone within the </w:t>
      </w:r>
      <w:r w:rsidR="00F02C5D">
        <w:rPr>
          <w:szCs w:val="24"/>
        </w:rPr>
        <w:t xml:space="preserve">public sector body </w:t>
      </w:r>
      <w:r>
        <w:rPr>
          <w:szCs w:val="24"/>
        </w:rPr>
        <w:t xml:space="preserve"> to deal with</w:t>
      </w:r>
      <w:r w:rsidR="00F02C5D">
        <w:rPr>
          <w:szCs w:val="24"/>
        </w:rPr>
        <w:t xml:space="preserve"> as per internal processes</w:t>
      </w:r>
      <w:r>
        <w:rPr>
          <w:szCs w:val="24"/>
        </w:rPr>
        <w:t>.</w:t>
      </w:r>
    </w:p>
    <w:p w:rsidR="00CB45EA" w:rsidRDefault="00CB45EA" w:rsidP="00B5406D">
      <w:pPr>
        <w:jc w:val="left"/>
        <w:rPr>
          <w:szCs w:val="24"/>
        </w:rPr>
      </w:pPr>
    </w:p>
    <w:p w:rsidR="00056BDA" w:rsidRDefault="00056BDA" w:rsidP="00F05901">
      <w:pPr>
        <w:rPr>
          <w:szCs w:val="24"/>
        </w:rPr>
      </w:pPr>
    </w:p>
    <w:p w:rsidR="00056BDA" w:rsidRDefault="00056BDA" w:rsidP="00F05901">
      <w:pPr>
        <w:rPr>
          <w:szCs w:val="24"/>
        </w:rPr>
      </w:pPr>
      <w:r w:rsidRPr="00F05901">
        <w:rPr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23495</wp:posOffset>
            </wp:positionV>
            <wp:extent cx="5954395" cy="2915920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056BDA" w:rsidRDefault="00056BDA" w:rsidP="00F05901">
      <w:pPr>
        <w:rPr>
          <w:szCs w:val="24"/>
        </w:rPr>
      </w:pPr>
    </w:p>
    <w:p w:rsidR="00056BDA" w:rsidRDefault="00056BDA" w:rsidP="00F05901">
      <w:pPr>
        <w:rPr>
          <w:szCs w:val="24"/>
        </w:rPr>
      </w:pPr>
    </w:p>
    <w:p w:rsidR="00056BDA" w:rsidRDefault="00056BDA" w:rsidP="00F05901">
      <w:pPr>
        <w:rPr>
          <w:szCs w:val="24"/>
        </w:rPr>
      </w:pPr>
    </w:p>
    <w:p w:rsidR="00056BDA" w:rsidRDefault="00056BDA" w:rsidP="00F05901">
      <w:pPr>
        <w:rPr>
          <w:szCs w:val="24"/>
        </w:rPr>
      </w:pPr>
    </w:p>
    <w:p w:rsidR="00056BDA" w:rsidRDefault="00056BDA" w:rsidP="00F05901">
      <w:pPr>
        <w:rPr>
          <w:szCs w:val="24"/>
        </w:rPr>
      </w:pPr>
    </w:p>
    <w:p w:rsidR="00056BDA" w:rsidRDefault="00056BDA" w:rsidP="00F05901">
      <w:pPr>
        <w:rPr>
          <w:szCs w:val="24"/>
        </w:rPr>
      </w:pPr>
    </w:p>
    <w:p w:rsidR="00056BDA" w:rsidRDefault="00056BDA" w:rsidP="00F05901">
      <w:pPr>
        <w:rPr>
          <w:szCs w:val="24"/>
        </w:rPr>
      </w:pPr>
    </w:p>
    <w:p w:rsidR="00056BDA" w:rsidRDefault="00056BDA" w:rsidP="00F05901">
      <w:pPr>
        <w:rPr>
          <w:szCs w:val="24"/>
        </w:rPr>
      </w:pPr>
    </w:p>
    <w:p w:rsidR="00056BDA" w:rsidRDefault="00056BDA" w:rsidP="00F05901">
      <w:pPr>
        <w:rPr>
          <w:szCs w:val="24"/>
        </w:rPr>
      </w:pPr>
    </w:p>
    <w:p w:rsidR="003007BB" w:rsidRDefault="003007BB" w:rsidP="00F05901">
      <w:pPr>
        <w:rPr>
          <w:szCs w:val="24"/>
        </w:rPr>
      </w:pPr>
    </w:p>
    <w:p w:rsidR="003007BB" w:rsidRDefault="003007BB" w:rsidP="00F05901">
      <w:pPr>
        <w:rPr>
          <w:szCs w:val="24"/>
        </w:rPr>
      </w:pPr>
    </w:p>
    <w:p w:rsidR="001731B3" w:rsidRDefault="001731B3" w:rsidP="00E36759">
      <w:pPr>
        <w:rPr>
          <w:szCs w:val="24"/>
        </w:rPr>
      </w:pPr>
    </w:p>
    <w:p w:rsidR="00C06C88" w:rsidRDefault="001D2017" w:rsidP="00B5406D">
      <w:pPr>
        <w:pStyle w:val="Heading1"/>
        <w:tabs>
          <w:tab w:val="clear" w:pos="9000"/>
          <w:tab w:val="right" w:pos="8222"/>
        </w:tabs>
        <w:jc w:val="left"/>
        <w:rPr>
          <w:b/>
        </w:rPr>
      </w:pPr>
      <w:bookmarkStart w:id="16" w:name="_Toc431453288"/>
      <w:r w:rsidRPr="00F05901">
        <w:rPr>
          <w:b/>
        </w:rPr>
        <w:t>Benefits of eInvoicing</w:t>
      </w:r>
      <w:bookmarkEnd w:id="16"/>
    </w:p>
    <w:p w:rsidR="00CB45EA" w:rsidRPr="00A63A8E" w:rsidRDefault="00CB45EA" w:rsidP="00B5406D">
      <w:pPr>
        <w:jc w:val="left"/>
      </w:pPr>
    </w:p>
    <w:p w:rsidR="00CB45EA" w:rsidRDefault="007544A1" w:rsidP="00B5406D">
      <w:pPr>
        <w:pStyle w:val="ListParagraph"/>
        <w:tabs>
          <w:tab w:val="clear" w:pos="720"/>
          <w:tab w:val="left" w:pos="142"/>
        </w:tabs>
        <w:ind w:left="142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There are a number of key benefits and efficiencies that suppliers could realise as a result of issuing invoices electronically: </w:t>
      </w:r>
    </w:p>
    <w:p w:rsidR="00CB45EA" w:rsidRPr="00A63A8E" w:rsidRDefault="00CB45EA" w:rsidP="00B5406D">
      <w:pPr>
        <w:pStyle w:val="ListParagraph"/>
        <w:jc w:val="left"/>
        <w:rPr>
          <w:szCs w:val="24"/>
        </w:rPr>
      </w:pPr>
    </w:p>
    <w:p w:rsidR="00974FCD" w:rsidRPr="00974FCD" w:rsidRDefault="001817AE" w:rsidP="00B5406D">
      <w:pPr>
        <w:pStyle w:val="ListParagraph"/>
        <w:numPr>
          <w:ilvl w:val="0"/>
          <w:numId w:val="5"/>
        </w:numPr>
        <w:jc w:val="left"/>
        <w:rPr>
          <w:szCs w:val="24"/>
        </w:rPr>
      </w:pPr>
      <w:r w:rsidRPr="001817AE">
        <w:rPr>
          <w:szCs w:val="24"/>
          <w:lang w:val="en-US"/>
        </w:rPr>
        <w:t xml:space="preserve">Faster </w:t>
      </w:r>
      <w:r>
        <w:rPr>
          <w:szCs w:val="24"/>
          <w:lang w:val="en-US"/>
        </w:rPr>
        <w:t>p</w:t>
      </w:r>
      <w:r w:rsidRPr="001817AE">
        <w:rPr>
          <w:szCs w:val="24"/>
          <w:lang w:val="en-US"/>
        </w:rPr>
        <w:t>ayment</w:t>
      </w:r>
      <w:r>
        <w:rPr>
          <w:szCs w:val="24"/>
          <w:lang w:val="en-US"/>
        </w:rPr>
        <w:t xml:space="preserve">s - </w:t>
      </w:r>
      <w:r>
        <w:t xml:space="preserve">eInvoicing eliminates the delays that result from mailing, routing, sorting and re-keying paper documents. Customers can easily route  invoices for fast processing and approval because the data is immediately available electronically. </w:t>
      </w:r>
    </w:p>
    <w:p w:rsidR="001817AE" w:rsidRPr="001817AE" w:rsidRDefault="001817AE" w:rsidP="00B5406D">
      <w:pPr>
        <w:pStyle w:val="ListParagraph"/>
        <w:jc w:val="left"/>
        <w:rPr>
          <w:szCs w:val="24"/>
        </w:rPr>
      </w:pPr>
      <w:r>
        <w:t xml:space="preserve"> </w:t>
      </w:r>
    </w:p>
    <w:p w:rsidR="001817AE" w:rsidRPr="00974FCD" w:rsidRDefault="003007BB" w:rsidP="00B5406D">
      <w:pPr>
        <w:pStyle w:val="ListParagraph"/>
        <w:numPr>
          <w:ilvl w:val="0"/>
          <w:numId w:val="5"/>
        </w:numPr>
        <w:jc w:val="left"/>
        <w:rPr>
          <w:szCs w:val="24"/>
        </w:rPr>
      </w:pPr>
      <w:r>
        <w:rPr>
          <w:szCs w:val="24"/>
          <w:lang w:val="en-US"/>
        </w:rPr>
        <w:t>R</w:t>
      </w:r>
      <w:r w:rsidR="001817AE" w:rsidRPr="001817AE">
        <w:rPr>
          <w:szCs w:val="24"/>
          <w:lang w:val="en-US"/>
        </w:rPr>
        <w:t>educing  invoice processing costs by taking away any manual intervention and making the end to end process electronic</w:t>
      </w:r>
      <w:r w:rsidR="001817AE">
        <w:rPr>
          <w:szCs w:val="24"/>
          <w:lang w:val="en-US"/>
        </w:rPr>
        <w:t>.</w:t>
      </w:r>
    </w:p>
    <w:p w:rsidR="00974FCD" w:rsidRPr="001817AE" w:rsidRDefault="00974FCD" w:rsidP="00B5406D">
      <w:pPr>
        <w:pStyle w:val="ListParagraph"/>
        <w:jc w:val="left"/>
        <w:rPr>
          <w:szCs w:val="24"/>
        </w:rPr>
      </w:pPr>
    </w:p>
    <w:p w:rsidR="001817AE" w:rsidRPr="00974FCD" w:rsidRDefault="001817AE" w:rsidP="00B5406D">
      <w:pPr>
        <w:pStyle w:val="ListParagraph"/>
        <w:numPr>
          <w:ilvl w:val="0"/>
          <w:numId w:val="5"/>
        </w:numPr>
        <w:jc w:val="left"/>
        <w:rPr>
          <w:szCs w:val="24"/>
        </w:rPr>
      </w:pPr>
      <w:r>
        <w:t xml:space="preserve">eInvoicing enables straight-through processing </w:t>
      </w:r>
      <w:r w:rsidR="007544A1">
        <w:t xml:space="preserve"> </w:t>
      </w:r>
      <w:r w:rsidR="00CB45EA">
        <w:t xml:space="preserve">by </w:t>
      </w:r>
      <w:r w:rsidR="007544A1">
        <w:t xml:space="preserve"> </w:t>
      </w:r>
      <w:r>
        <w:t>eliminat</w:t>
      </w:r>
      <w:r w:rsidR="007544A1">
        <w:t>ing  the</w:t>
      </w:r>
      <w:r>
        <w:t xml:space="preserve"> need to manually re-key  data</w:t>
      </w:r>
      <w:r w:rsidR="00CB45EA">
        <w:t xml:space="preserve"> and</w:t>
      </w:r>
      <w:r>
        <w:t xml:space="preserve"> reducing the potential for data entry errors. As a result, invoices are less likely to be rejected.</w:t>
      </w:r>
    </w:p>
    <w:p w:rsidR="00974FCD" w:rsidRPr="001817AE" w:rsidRDefault="00974FCD" w:rsidP="00B5406D">
      <w:pPr>
        <w:pStyle w:val="ListParagraph"/>
        <w:jc w:val="left"/>
        <w:rPr>
          <w:szCs w:val="24"/>
        </w:rPr>
      </w:pPr>
    </w:p>
    <w:p w:rsidR="001817AE" w:rsidRPr="00974FCD" w:rsidRDefault="007544A1" w:rsidP="00B5406D">
      <w:pPr>
        <w:pStyle w:val="ListParagraph"/>
        <w:numPr>
          <w:ilvl w:val="0"/>
          <w:numId w:val="5"/>
        </w:numPr>
        <w:jc w:val="left"/>
        <w:rPr>
          <w:szCs w:val="24"/>
        </w:rPr>
      </w:pPr>
      <w:r>
        <w:rPr>
          <w:szCs w:val="24"/>
          <w:lang w:val="en-US"/>
        </w:rPr>
        <w:t>R</w:t>
      </w:r>
      <w:r w:rsidR="001817AE" w:rsidRPr="001817AE">
        <w:rPr>
          <w:szCs w:val="24"/>
          <w:lang w:val="en-US"/>
        </w:rPr>
        <w:t>educ</w:t>
      </w:r>
      <w:r>
        <w:rPr>
          <w:szCs w:val="24"/>
          <w:lang w:val="en-US"/>
        </w:rPr>
        <w:t xml:space="preserve">tion </w:t>
      </w:r>
      <w:r w:rsidR="00CB45EA">
        <w:rPr>
          <w:szCs w:val="24"/>
          <w:lang w:val="en-US"/>
        </w:rPr>
        <w:t>of</w:t>
      </w:r>
      <w:r w:rsidR="001817AE" w:rsidRPr="001817AE">
        <w:rPr>
          <w:szCs w:val="24"/>
          <w:lang w:val="en-US"/>
        </w:rPr>
        <w:t xml:space="preserve"> credit control</w:t>
      </w:r>
      <w:r>
        <w:rPr>
          <w:szCs w:val="24"/>
          <w:lang w:val="en-US"/>
        </w:rPr>
        <w:t xml:space="preserve"> effort in</w:t>
      </w:r>
      <w:r w:rsidR="001817AE" w:rsidRPr="001817AE">
        <w:rPr>
          <w:szCs w:val="24"/>
          <w:lang w:val="en-US"/>
        </w:rPr>
        <w:t xml:space="preserve"> dealing with lost invoices or handling queries.</w:t>
      </w:r>
    </w:p>
    <w:p w:rsidR="00974FCD" w:rsidRPr="001817AE" w:rsidRDefault="00974FCD" w:rsidP="00B5406D">
      <w:pPr>
        <w:pStyle w:val="ListParagraph"/>
        <w:jc w:val="left"/>
        <w:rPr>
          <w:szCs w:val="24"/>
        </w:rPr>
      </w:pPr>
    </w:p>
    <w:p w:rsidR="001817AE" w:rsidRDefault="001D2017" w:rsidP="00B5406D">
      <w:pPr>
        <w:pStyle w:val="ListParagraph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Enhanced visibility as a full audit trail is available.</w:t>
      </w:r>
    </w:p>
    <w:p w:rsidR="001D2017" w:rsidRDefault="001D2017" w:rsidP="00B5406D">
      <w:pPr>
        <w:pStyle w:val="ListParagraph"/>
        <w:jc w:val="left"/>
        <w:rPr>
          <w:szCs w:val="24"/>
        </w:rPr>
      </w:pPr>
    </w:p>
    <w:p w:rsidR="001D2017" w:rsidRDefault="001D2017" w:rsidP="00B5406D">
      <w:pPr>
        <w:jc w:val="left"/>
        <w:rPr>
          <w:szCs w:val="24"/>
        </w:rPr>
      </w:pPr>
    </w:p>
    <w:p w:rsidR="001D2017" w:rsidRDefault="002E0EA5" w:rsidP="00B5406D">
      <w:pPr>
        <w:jc w:val="left"/>
        <w:rPr>
          <w:szCs w:val="24"/>
        </w:rPr>
      </w:pPr>
      <w:r>
        <w:rPr>
          <w:szCs w:val="24"/>
        </w:rPr>
        <w:t xml:space="preserve">As well as the key benefits identified above, </w:t>
      </w:r>
      <w:r w:rsidR="001D2017" w:rsidRPr="001D2017">
        <w:rPr>
          <w:szCs w:val="24"/>
        </w:rPr>
        <w:t xml:space="preserve"> </w:t>
      </w:r>
      <w:r w:rsidR="003007BB">
        <w:rPr>
          <w:szCs w:val="24"/>
        </w:rPr>
        <w:t xml:space="preserve">the </w:t>
      </w:r>
      <w:r w:rsidR="001D2017" w:rsidRPr="001D2017">
        <w:rPr>
          <w:szCs w:val="24"/>
        </w:rPr>
        <w:t xml:space="preserve">solution does not require </w:t>
      </w:r>
      <w:r w:rsidR="003007BB">
        <w:rPr>
          <w:szCs w:val="24"/>
        </w:rPr>
        <w:t xml:space="preserve">suppliers </w:t>
      </w:r>
      <w:r w:rsidR="001D2017" w:rsidRPr="001D2017">
        <w:rPr>
          <w:szCs w:val="24"/>
        </w:rPr>
        <w:t xml:space="preserve"> to mak</w:t>
      </w:r>
      <w:r>
        <w:rPr>
          <w:szCs w:val="24"/>
        </w:rPr>
        <w:t xml:space="preserve">e any technical changes to  </w:t>
      </w:r>
      <w:r w:rsidR="001D2017" w:rsidRPr="001D2017">
        <w:rPr>
          <w:szCs w:val="24"/>
        </w:rPr>
        <w:t>invoice/billing process</w:t>
      </w:r>
      <w:r w:rsidR="007544A1">
        <w:rPr>
          <w:szCs w:val="24"/>
        </w:rPr>
        <w:t>es</w:t>
      </w:r>
      <w:r>
        <w:rPr>
          <w:szCs w:val="24"/>
        </w:rPr>
        <w:t xml:space="preserve"> and </w:t>
      </w:r>
      <w:r w:rsidR="001D2017" w:rsidRPr="001D2017">
        <w:rPr>
          <w:szCs w:val="24"/>
        </w:rPr>
        <w:t>mo</w:t>
      </w:r>
      <w:r>
        <w:rPr>
          <w:szCs w:val="24"/>
        </w:rPr>
        <w:t>re</w:t>
      </w:r>
      <w:r w:rsidR="001D2017" w:rsidRPr="001D2017">
        <w:rPr>
          <w:szCs w:val="24"/>
        </w:rPr>
        <w:t xml:space="preserve"> importantly there are no costs to suppliers to </w:t>
      </w:r>
      <w:r w:rsidR="003007BB">
        <w:rPr>
          <w:szCs w:val="24"/>
        </w:rPr>
        <w:t xml:space="preserve">use the </w:t>
      </w:r>
      <w:r w:rsidR="001D2017" w:rsidRPr="001D2017">
        <w:rPr>
          <w:szCs w:val="24"/>
        </w:rPr>
        <w:t>solution.</w:t>
      </w:r>
    </w:p>
    <w:p w:rsidR="00056BDA" w:rsidRDefault="00056BDA" w:rsidP="00B5406D">
      <w:pPr>
        <w:jc w:val="left"/>
        <w:rPr>
          <w:szCs w:val="24"/>
        </w:rPr>
      </w:pPr>
    </w:p>
    <w:p w:rsidR="008D2F88" w:rsidRDefault="008D2F88" w:rsidP="00B5406D">
      <w:pPr>
        <w:jc w:val="left"/>
        <w:rPr>
          <w:szCs w:val="24"/>
        </w:rPr>
      </w:pPr>
    </w:p>
    <w:p w:rsidR="008D2F88" w:rsidRPr="00F05901" w:rsidRDefault="00F05901" w:rsidP="00B5406D">
      <w:pPr>
        <w:pStyle w:val="Heading1"/>
        <w:jc w:val="left"/>
        <w:rPr>
          <w:b/>
        </w:rPr>
      </w:pPr>
      <w:bookmarkStart w:id="17" w:name="_Toc431453289"/>
      <w:r>
        <w:rPr>
          <w:b/>
        </w:rPr>
        <w:t xml:space="preserve">eInvoice - </w:t>
      </w:r>
      <w:r w:rsidR="008D2F88" w:rsidRPr="00F05901">
        <w:rPr>
          <w:b/>
        </w:rPr>
        <w:t>Supplier Requirements</w:t>
      </w:r>
      <w:bookmarkEnd w:id="17"/>
    </w:p>
    <w:p w:rsidR="008D2F88" w:rsidRDefault="008D2F88" w:rsidP="00B5406D">
      <w:pPr>
        <w:jc w:val="left"/>
        <w:rPr>
          <w:szCs w:val="24"/>
        </w:rPr>
      </w:pPr>
    </w:p>
    <w:p w:rsidR="00F05901" w:rsidRDefault="00F05901" w:rsidP="00B5406D">
      <w:pPr>
        <w:jc w:val="left"/>
        <w:rPr>
          <w:szCs w:val="24"/>
        </w:rPr>
      </w:pPr>
      <w:r>
        <w:rPr>
          <w:szCs w:val="24"/>
        </w:rPr>
        <w:t xml:space="preserve">Since the introduction of </w:t>
      </w:r>
      <w:r w:rsidR="003007BB">
        <w:rPr>
          <w:szCs w:val="24"/>
        </w:rPr>
        <w:t xml:space="preserve">the </w:t>
      </w:r>
      <w:r>
        <w:rPr>
          <w:szCs w:val="24"/>
        </w:rPr>
        <w:t xml:space="preserve"> eInvoicing solution there </w:t>
      </w:r>
      <w:r w:rsidR="007544A1">
        <w:rPr>
          <w:szCs w:val="24"/>
        </w:rPr>
        <w:t xml:space="preserve">have been </w:t>
      </w:r>
      <w:r>
        <w:rPr>
          <w:szCs w:val="24"/>
        </w:rPr>
        <w:t xml:space="preserve"> a number of common </w:t>
      </w:r>
      <w:r w:rsidR="007544A1">
        <w:rPr>
          <w:szCs w:val="24"/>
        </w:rPr>
        <w:t xml:space="preserve">issues </w:t>
      </w:r>
      <w:r>
        <w:rPr>
          <w:szCs w:val="24"/>
        </w:rPr>
        <w:t xml:space="preserve">encountered with </w:t>
      </w:r>
      <w:r w:rsidR="007544A1">
        <w:rPr>
          <w:szCs w:val="24"/>
        </w:rPr>
        <w:t xml:space="preserve"> the format and</w:t>
      </w:r>
      <w:r w:rsidR="003007BB">
        <w:rPr>
          <w:szCs w:val="24"/>
        </w:rPr>
        <w:t xml:space="preserve"> </w:t>
      </w:r>
      <w:r>
        <w:rPr>
          <w:szCs w:val="24"/>
        </w:rPr>
        <w:t xml:space="preserve">content </w:t>
      </w:r>
      <w:r w:rsidR="007544A1">
        <w:rPr>
          <w:szCs w:val="24"/>
        </w:rPr>
        <w:t>of eInvoices received from some suppliers. F</w:t>
      </w:r>
      <w:r w:rsidR="00B5406D">
        <w:rPr>
          <w:szCs w:val="24"/>
        </w:rPr>
        <w:t>or example:</w:t>
      </w:r>
    </w:p>
    <w:p w:rsidR="00F05901" w:rsidRDefault="00F05901" w:rsidP="00B5406D">
      <w:pPr>
        <w:jc w:val="left"/>
        <w:rPr>
          <w:szCs w:val="24"/>
        </w:rPr>
      </w:pPr>
    </w:p>
    <w:p w:rsidR="00F05901" w:rsidRDefault="00F05901" w:rsidP="00B5406D">
      <w:pPr>
        <w:pStyle w:val="ListParagraph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Product codes/item numbers on invoices not matching</w:t>
      </w:r>
      <w:r w:rsidR="00930E51">
        <w:rPr>
          <w:szCs w:val="24"/>
        </w:rPr>
        <w:t xml:space="preserve"> </w:t>
      </w:r>
      <w:r w:rsidR="00147295">
        <w:rPr>
          <w:szCs w:val="24"/>
        </w:rPr>
        <w:t>in, catalogues, internet sites or via quotation requests</w:t>
      </w:r>
      <w:r w:rsidR="00930E51">
        <w:rPr>
          <w:szCs w:val="24"/>
        </w:rPr>
        <w:t>, for example the addition of prefixes/suffixes</w:t>
      </w:r>
      <w:r w:rsidR="00B5406D">
        <w:rPr>
          <w:szCs w:val="24"/>
        </w:rPr>
        <w:t>.</w:t>
      </w:r>
    </w:p>
    <w:p w:rsidR="00F05901" w:rsidRDefault="00F05901" w:rsidP="00B5406D">
      <w:pPr>
        <w:pStyle w:val="ListParagraph"/>
        <w:jc w:val="left"/>
        <w:rPr>
          <w:szCs w:val="24"/>
        </w:rPr>
      </w:pPr>
      <w:r>
        <w:rPr>
          <w:szCs w:val="24"/>
        </w:rPr>
        <w:t xml:space="preserve"> </w:t>
      </w:r>
    </w:p>
    <w:p w:rsidR="00F05901" w:rsidRDefault="00F05901" w:rsidP="00B5406D">
      <w:pPr>
        <w:pStyle w:val="ListParagraph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The addition of delivery charges/discounts</w:t>
      </w:r>
      <w:r w:rsidR="00930E51">
        <w:rPr>
          <w:szCs w:val="24"/>
        </w:rPr>
        <w:t xml:space="preserve"> at the invoice stage</w:t>
      </w:r>
      <w:r>
        <w:rPr>
          <w:szCs w:val="24"/>
        </w:rPr>
        <w:t xml:space="preserve">  </w:t>
      </w:r>
    </w:p>
    <w:p w:rsidR="00F05901" w:rsidRDefault="00F05901" w:rsidP="00B5406D">
      <w:pPr>
        <w:pStyle w:val="ListParagraph"/>
        <w:jc w:val="left"/>
        <w:rPr>
          <w:szCs w:val="24"/>
        </w:rPr>
      </w:pPr>
    </w:p>
    <w:p w:rsidR="00F05901" w:rsidRDefault="00F05901" w:rsidP="00B5406D">
      <w:pPr>
        <w:pStyle w:val="ListParagraph"/>
        <w:jc w:val="left"/>
        <w:rPr>
          <w:szCs w:val="24"/>
        </w:rPr>
      </w:pPr>
    </w:p>
    <w:p w:rsidR="00100D75" w:rsidRPr="00100D75" w:rsidRDefault="00F05901" w:rsidP="00B5406D">
      <w:pPr>
        <w:pStyle w:val="ListParagraph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 xml:space="preserve">When customers are purchasing bundles from catalogues </w:t>
      </w:r>
      <w:r w:rsidR="00876C58">
        <w:rPr>
          <w:szCs w:val="24"/>
        </w:rPr>
        <w:t xml:space="preserve"> it appears as 1 line on the PO but </w:t>
      </w:r>
      <w:r>
        <w:rPr>
          <w:szCs w:val="24"/>
        </w:rPr>
        <w:t xml:space="preserve"> when the invoice is received </w:t>
      </w:r>
      <w:r w:rsidR="00876C58">
        <w:rPr>
          <w:szCs w:val="24"/>
        </w:rPr>
        <w:t xml:space="preserve"> there are </w:t>
      </w:r>
      <w:r>
        <w:rPr>
          <w:szCs w:val="24"/>
        </w:rPr>
        <w:t xml:space="preserve">multiple lines. </w:t>
      </w:r>
    </w:p>
    <w:p w:rsidR="00F05901" w:rsidRDefault="00F05901" w:rsidP="00B5406D">
      <w:pPr>
        <w:jc w:val="left"/>
        <w:rPr>
          <w:szCs w:val="24"/>
        </w:rPr>
      </w:pPr>
    </w:p>
    <w:p w:rsidR="00F05901" w:rsidRDefault="00F05901" w:rsidP="00B5406D">
      <w:pPr>
        <w:jc w:val="left"/>
        <w:rPr>
          <w:szCs w:val="24"/>
        </w:rPr>
      </w:pPr>
    </w:p>
    <w:p w:rsidR="00F05901" w:rsidRDefault="00F05901" w:rsidP="00B5406D">
      <w:pPr>
        <w:jc w:val="left"/>
        <w:rPr>
          <w:szCs w:val="24"/>
        </w:rPr>
      </w:pPr>
      <w:r>
        <w:rPr>
          <w:szCs w:val="24"/>
        </w:rPr>
        <w:t>As a result these issues have caused eInvoices to be</w:t>
      </w:r>
      <w:r w:rsidR="00100D75">
        <w:rPr>
          <w:szCs w:val="24"/>
        </w:rPr>
        <w:t xml:space="preserve"> mismatched and</w:t>
      </w:r>
      <w:r>
        <w:rPr>
          <w:szCs w:val="24"/>
        </w:rPr>
        <w:t xml:space="preserve"> rejected. Therefore, t</w:t>
      </w:r>
      <w:r w:rsidRPr="008D2F88">
        <w:rPr>
          <w:szCs w:val="24"/>
        </w:rPr>
        <w:t xml:space="preserve">o ensure that </w:t>
      </w:r>
      <w:r w:rsidR="003007BB">
        <w:rPr>
          <w:szCs w:val="24"/>
        </w:rPr>
        <w:t xml:space="preserve">suppliers </w:t>
      </w:r>
      <w:r w:rsidRPr="008D2F88">
        <w:rPr>
          <w:szCs w:val="24"/>
        </w:rPr>
        <w:t xml:space="preserve"> </w:t>
      </w:r>
      <w:r>
        <w:rPr>
          <w:szCs w:val="24"/>
        </w:rPr>
        <w:t>reap</w:t>
      </w:r>
      <w:r w:rsidRPr="008D2F88">
        <w:rPr>
          <w:szCs w:val="24"/>
        </w:rPr>
        <w:t xml:space="preserve"> the benefits of eInv</w:t>
      </w:r>
      <w:r>
        <w:rPr>
          <w:szCs w:val="24"/>
        </w:rPr>
        <w:t>oicing</w:t>
      </w:r>
      <w:r w:rsidRPr="008D2F88">
        <w:rPr>
          <w:szCs w:val="24"/>
        </w:rPr>
        <w:t xml:space="preserve">, there are a few pre-requisites that need to </w:t>
      </w:r>
      <w:r>
        <w:rPr>
          <w:szCs w:val="24"/>
        </w:rPr>
        <w:t xml:space="preserve">be in place to ensure that </w:t>
      </w:r>
      <w:r w:rsidR="00876C58">
        <w:rPr>
          <w:szCs w:val="24"/>
        </w:rPr>
        <w:t xml:space="preserve">a </w:t>
      </w:r>
      <w:r>
        <w:rPr>
          <w:szCs w:val="24"/>
        </w:rPr>
        <w:t>valid invoice</w:t>
      </w:r>
      <w:r w:rsidR="003007BB">
        <w:rPr>
          <w:szCs w:val="24"/>
        </w:rPr>
        <w:t>s</w:t>
      </w:r>
      <w:r>
        <w:rPr>
          <w:szCs w:val="24"/>
        </w:rPr>
        <w:t xml:space="preserve"> </w:t>
      </w:r>
      <w:r w:rsidR="00876C58">
        <w:rPr>
          <w:szCs w:val="24"/>
        </w:rPr>
        <w:t>is issued</w:t>
      </w:r>
      <w:r w:rsidR="00CB45EA">
        <w:rPr>
          <w:szCs w:val="24"/>
        </w:rPr>
        <w:t>, i.e.</w:t>
      </w:r>
      <w:r>
        <w:rPr>
          <w:szCs w:val="24"/>
        </w:rPr>
        <w:t xml:space="preserve">  </w:t>
      </w:r>
    </w:p>
    <w:p w:rsidR="00F05901" w:rsidRDefault="00F05901" w:rsidP="00B5406D">
      <w:pPr>
        <w:jc w:val="left"/>
        <w:rPr>
          <w:szCs w:val="24"/>
        </w:rPr>
      </w:pPr>
    </w:p>
    <w:p w:rsidR="00F05901" w:rsidRPr="00D63902" w:rsidRDefault="003007BB" w:rsidP="00B5406D">
      <w:pPr>
        <w:pStyle w:val="ListParagraph"/>
        <w:numPr>
          <w:ilvl w:val="0"/>
          <w:numId w:val="7"/>
        </w:numPr>
        <w:jc w:val="left"/>
        <w:rPr>
          <w:szCs w:val="24"/>
        </w:rPr>
      </w:pPr>
      <w:r>
        <w:rPr>
          <w:szCs w:val="24"/>
        </w:rPr>
        <w:t xml:space="preserve">Suppliers </w:t>
      </w:r>
      <w:r w:rsidR="00F05901" w:rsidRPr="00D63902">
        <w:rPr>
          <w:szCs w:val="24"/>
        </w:rPr>
        <w:t>must have the ability to send a system generated invoice</w:t>
      </w:r>
      <w:r w:rsidR="00100D75">
        <w:rPr>
          <w:szCs w:val="24"/>
        </w:rPr>
        <w:t xml:space="preserve"> (no manual intervention is required to produce</w:t>
      </w:r>
      <w:r w:rsidR="00FF1330">
        <w:rPr>
          <w:szCs w:val="24"/>
        </w:rPr>
        <w:t xml:space="preserve"> the</w:t>
      </w:r>
      <w:r w:rsidR="00100D75">
        <w:rPr>
          <w:szCs w:val="24"/>
        </w:rPr>
        <w:t xml:space="preserve"> invoice)</w:t>
      </w:r>
      <w:r w:rsidR="00F05901" w:rsidRPr="00D63902">
        <w:rPr>
          <w:szCs w:val="24"/>
        </w:rPr>
        <w:t>. For example</w:t>
      </w:r>
      <w:r>
        <w:rPr>
          <w:szCs w:val="24"/>
        </w:rPr>
        <w:t>,</w:t>
      </w:r>
      <w:r w:rsidR="00F05901" w:rsidRPr="00D63902">
        <w:rPr>
          <w:szCs w:val="24"/>
        </w:rPr>
        <w:t xml:space="preserve"> scanning a paper invoice and emailing it is not accepted. </w:t>
      </w:r>
    </w:p>
    <w:p w:rsidR="00F05901" w:rsidRDefault="00F05901" w:rsidP="00B5406D">
      <w:pPr>
        <w:jc w:val="left"/>
        <w:rPr>
          <w:szCs w:val="24"/>
        </w:rPr>
      </w:pPr>
    </w:p>
    <w:p w:rsidR="00F05901" w:rsidRPr="007F7F10" w:rsidRDefault="003007BB" w:rsidP="00B5406D">
      <w:pPr>
        <w:pStyle w:val="ListParagraph"/>
        <w:numPr>
          <w:ilvl w:val="0"/>
          <w:numId w:val="7"/>
        </w:numPr>
        <w:jc w:val="left"/>
        <w:rPr>
          <w:b/>
          <w:szCs w:val="24"/>
        </w:rPr>
      </w:pPr>
      <w:r>
        <w:rPr>
          <w:szCs w:val="24"/>
        </w:rPr>
        <w:t xml:space="preserve">Suppliers </w:t>
      </w:r>
      <w:r w:rsidR="00F05901">
        <w:rPr>
          <w:szCs w:val="24"/>
        </w:rPr>
        <w:t xml:space="preserve">must ensure that </w:t>
      </w:r>
      <w:r>
        <w:rPr>
          <w:szCs w:val="24"/>
        </w:rPr>
        <w:t xml:space="preserve"> </w:t>
      </w:r>
      <w:r w:rsidR="00F05901">
        <w:rPr>
          <w:szCs w:val="24"/>
        </w:rPr>
        <w:t>catalogues are up to date</w:t>
      </w:r>
      <w:r w:rsidR="00F05901" w:rsidRPr="007F7F10">
        <w:rPr>
          <w:szCs w:val="24"/>
        </w:rPr>
        <w:t xml:space="preserve"> with </w:t>
      </w:r>
      <w:r>
        <w:rPr>
          <w:szCs w:val="24"/>
        </w:rPr>
        <w:t xml:space="preserve">the </w:t>
      </w:r>
      <w:r w:rsidR="00F05901">
        <w:rPr>
          <w:szCs w:val="24"/>
        </w:rPr>
        <w:t>latest</w:t>
      </w:r>
      <w:r w:rsidR="00F05901" w:rsidRPr="007F7F10">
        <w:rPr>
          <w:szCs w:val="24"/>
        </w:rPr>
        <w:t xml:space="preserve"> product codes, prices, delivery charges, etc as the information detailed in </w:t>
      </w:r>
      <w:r w:rsidR="00F05901">
        <w:rPr>
          <w:szCs w:val="24"/>
        </w:rPr>
        <w:t xml:space="preserve">your </w:t>
      </w:r>
      <w:r w:rsidR="00F05901" w:rsidRPr="007F7F10">
        <w:rPr>
          <w:szCs w:val="24"/>
        </w:rPr>
        <w:t xml:space="preserve">catalogues will be replicated </w:t>
      </w:r>
      <w:r w:rsidR="00876C58">
        <w:rPr>
          <w:szCs w:val="24"/>
        </w:rPr>
        <w:t xml:space="preserve"> on</w:t>
      </w:r>
      <w:r w:rsidR="00F05901" w:rsidRPr="007F7F10">
        <w:rPr>
          <w:szCs w:val="24"/>
        </w:rPr>
        <w:t xml:space="preserve"> the PO.</w:t>
      </w:r>
    </w:p>
    <w:p w:rsidR="00F05901" w:rsidRDefault="00F05901" w:rsidP="00B5406D">
      <w:pPr>
        <w:jc w:val="left"/>
        <w:rPr>
          <w:b/>
          <w:szCs w:val="24"/>
        </w:rPr>
      </w:pPr>
    </w:p>
    <w:p w:rsidR="00F05901" w:rsidRPr="00661142" w:rsidRDefault="00F05901" w:rsidP="00B5406D">
      <w:pPr>
        <w:pStyle w:val="ListParagraph"/>
        <w:numPr>
          <w:ilvl w:val="0"/>
          <w:numId w:val="7"/>
        </w:numPr>
        <w:jc w:val="left"/>
        <w:rPr>
          <w:b/>
          <w:szCs w:val="24"/>
        </w:rPr>
      </w:pPr>
      <w:r>
        <w:rPr>
          <w:szCs w:val="24"/>
        </w:rPr>
        <w:t xml:space="preserve"> </w:t>
      </w:r>
      <w:r w:rsidR="003007BB">
        <w:rPr>
          <w:szCs w:val="24"/>
        </w:rPr>
        <w:t>I</w:t>
      </w:r>
      <w:r>
        <w:rPr>
          <w:szCs w:val="24"/>
        </w:rPr>
        <w:t>nvoice</w:t>
      </w:r>
      <w:r w:rsidR="003007BB">
        <w:rPr>
          <w:szCs w:val="24"/>
        </w:rPr>
        <w:t>s</w:t>
      </w:r>
      <w:r>
        <w:rPr>
          <w:szCs w:val="24"/>
        </w:rPr>
        <w:t xml:space="preserve"> must mirror the key information </w:t>
      </w:r>
      <w:r w:rsidR="00EA1FA6">
        <w:rPr>
          <w:szCs w:val="24"/>
        </w:rPr>
        <w:t>provided within catalogues, internet site or quotation requests</w:t>
      </w:r>
      <w:r>
        <w:rPr>
          <w:szCs w:val="24"/>
        </w:rPr>
        <w:t>.</w:t>
      </w:r>
    </w:p>
    <w:p w:rsidR="00F05901" w:rsidRDefault="00F05901" w:rsidP="00B5406D">
      <w:pPr>
        <w:jc w:val="left"/>
        <w:rPr>
          <w:b/>
          <w:szCs w:val="24"/>
        </w:rPr>
      </w:pPr>
    </w:p>
    <w:p w:rsidR="00F05901" w:rsidRPr="009F7DC3" w:rsidRDefault="00F05901" w:rsidP="00B5406D">
      <w:pPr>
        <w:pStyle w:val="ListParagraph"/>
        <w:numPr>
          <w:ilvl w:val="0"/>
          <w:numId w:val="7"/>
        </w:numPr>
        <w:jc w:val="left"/>
        <w:rPr>
          <w:b/>
          <w:szCs w:val="24"/>
        </w:rPr>
      </w:pPr>
      <w:r>
        <w:rPr>
          <w:szCs w:val="24"/>
        </w:rPr>
        <w:t xml:space="preserve">eInvoices must contain the same elements as a </w:t>
      </w:r>
      <w:r w:rsidR="00EA1FA6">
        <w:rPr>
          <w:szCs w:val="24"/>
        </w:rPr>
        <w:t>standard</w:t>
      </w:r>
      <w:r>
        <w:rPr>
          <w:szCs w:val="24"/>
        </w:rPr>
        <w:t xml:space="preserve"> invoice. </w:t>
      </w:r>
    </w:p>
    <w:p w:rsidR="009F7DC3" w:rsidRPr="009F7DC3" w:rsidRDefault="009F7DC3" w:rsidP="00B5406D">
      <w:pPr>
        <w:pStyle w:val="ListParagraph"/>
        <w:jc w:val="left"/>
        <w:rPr>
          <w:b/>
          <w:szCs w:val="24"/>
        </w:rPr>
      </w:pPr>
    </w:p>
    <w:p w:rsidR="009F7DC3" w:rsidRDefault="009F7DC3" w:rsidP="00B5406D">
      <w:pPr>
        <w:jc w:val="left"/>
        <w:rPr>
          <w:szCs w:val="24"/>
        </w:rPr>
      </w:pPr>
    </w:p>
    <w:p w:rsidR="009F7DC3" w:rsidRDefault="009F7DC3" w:rsidP="00B5406D">
      <w:pPr>
        <w:pStyle w:val="Heading1"/>
        <w:jc w:val="left"/>
        <w:rPr>
          <w:b/>
        </w:rPr>
      </w:pPr>
      <w:bookmarkStart w:id="18" w:name="_Toc431453290"/>
      <w:r w:rsidRPr="00F05901">
        <w:rPr>
          <w:b/>
        </w:rPr>
        <w:t>Core elements of an eInvoice</w:t>
      </w:r>
      <w:bookmarkEnd w:id="18"/>
      <w:r w:rsidRPr="00F05901">
        <w:rPr>
          <w:b/>
        </w:rPr>
        <w:t xml:space="preserve"> </w:t>
      </w:r>
    </w:p>
    <w:p w:rsidR="00CB45EA" w:rsidRDefault="00CB45EA" w:rsidP="00B5406D">
      <w:pPr>
        <w:jc w:val="left"/>
      </w:pPr>
    </w:p>
    <w:p w:rsidR="00CB45EA" w:rsidRPr="00A63A8E" w:rsidRDefault="00CB45EA" w:rsidP="00B5406D">
      <w:pPr>
        <w:jc w:val="left"/>
      </w:pPr>
      <w:r>
        <w:t xml:space="preserve"> </w:t>
      </w:r>
      <w:r w:rsidR="00EA1FA6">
        <w:t>C</w:t>
      </w:r>
      <w:r>
        <w:t>ore elements that need to be inclu</w:t>
      </w:r>
      <w:r w:rsidR="00B5406D">
        <w:t>ded in an eInvoice.  These are:</w:t>
      </w:r>
    </w:p>
    <w:p w:rsidR="00056BDA" w:rsidRPr="0092012A" w:rsidRDefault="00056BDA" w:rsidP="00B5406D">
      <w:pPr>
        <w:jc w:val="left"/>
      </w:pPr>
    </w:p>
    <w:p w:rsidR="00B5406D" w:rsidRDefault="00B5406D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Process and invoice identifiers</w:t>
      </w:r>
    </w:p>
    <w:p w:rsidR="00147295" w:rsidRDefault="00B5406D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Purchase order number</w:t>
      </w:r>
    </w:p>
    <w:p w:rsidR="00F05901" w:rsidRDefault="00F05901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 xml:space="preserve">The invoice </w:t>
      </w:r>
      <w:r w:rsidR="00B5406D">
        <w:t>period</w:t>
      </w:r>
    </w:p>
    <w:p w:rsidR="00F05901" w:rsidRDefault="00B5406D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Seller information</w:t>
      </w:r>
    </w:p>
    <w:p w:rsidR="00F05901" w:rsidRDefault="00B5406D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Buyer information</w:t>
      </w:r>
    </w:p>
    <w:p w:rsidR="00F05901" w:rsidRDefault="00B5406D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Payee information</w:t>
      </w:r>
    </w:p>
    <w:p w:rsidR="00F05901" w:rsidRDefault="00F05901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Seller’s</w:t>
      </w:r>
      <w:r w:rsidR="00B5406D">
        <w:t xml:space="preserve"> tax representative information</w:t>
      </w:r>
    </w:p>
    <w:p w:rsidR="00F05901" w:rsidRDefault="00B5406D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Delivery details</w:t>
      </w:r>
    </w:p>
    <w:p w:rsidR="00F05901" w:rsidRDefault="00B5406D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Payment instructions</w:t>
      </w:r>
    </w:p>
    <w:p w:rsidR="00F05901" w:rsidRDefault="00B5406D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Allowance or charge information</w:t>
      </w:r>
    </w:p>
    <w:p w:rsidR="00F05901" w:rsidRDefault="00B5406D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Invoice line item information</w:t>
      </w:r>
    </w:p>
    <w:p w:rsidR="00F05901" w:rsidRDefault="00B5406D" w:rsidP="00B5406D">
      <w:pPr>
        <w:pStyle w:val="ListParagraph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contextualSpacing w:val="0"/>
        <w:jc w:val="left"/>
      </w:pPr>
      <w:r>
        <w:t>Invoice totals</w:t>
      </w:r>
    </w:p>
    <w:p w:rsidR="00F05901" w:rsidRPr="009F7DC3" w:rsidRDefault="00B5406D" w:rsidP="00B5406D">
      <w:pPr>
        <w:pStyle w:val="ListParagraph"/>
        <w:numPr>
          <w:ilvl w:val="0"/>
          <w:numId w:val="9"/>
        </w:numPr>
        <w:jc w:val="left"/>
        <w:rPr>
          <w:b/>
          <w:szCs w:val="24"/>
        </w:rPr>
      </w:pPr>
      <w:r>
        <w:t>VAT breakdown</w:t>
      </w:r>
      <w:r>
        <w:rPr>
          <w:szCs w:val="24"/>
        </w:rPr>
        <w:t>.</w:t>
      </w:r>
    </w:p>
    <w:p w:rsidR="00F05901" w:rsidRDefault="00F05901" w:rsidP="00B5406D">
      <w:pPr>
        <w:jc w:val="left"/>
        <w:rPr>
          <w:szCs w:val="24"/>
        </w:rPr>
      </w:pPr>
    </w:p>
    <w:p w:rsidR="00F05901" w:rsidRDefault="003007BB" w:rsidP="00B5406D">
      <w:pPr>
        <w:jc w:val="left"/>
        <w:rPr>
          <w:szCs w:val="24"/>
        </w:rPr>
      </w:pPr>
      <w:r>
        <w:rPr>
          <w:szCs w:val="24"/>
        </w:rPr>
        <w:t>A</w:t>
      </w:r>
      <w:r w:rsidR="00F05901">
        <w:rPr>
          <w:szCs w:val="24"/>
        </w:rPr>
        <w:t xml:space="preserve">n example invoice </w:t>
      </w:r>
      <w:r>
        <w:rPr>
          <w:szCs w:val="24"/>
        </w:rPr>
        <w:t xml:space="preserve">is </w:t>
      </w:r>
      <w:r w:rsidR="00F05901">
        <w:rPr>
          <w:szCs w:val="24"/>
        </w:rPr>
        <w:t>attached at Annex A</w:t>
      </w:r>
      <w:r w:rsidR="00E517FA">
        <w:rPr>
          <w:szCs w:val="24"/>
        </w:rPr>
        <w:t xml:space="preserve"> which</w:t>
      </w:r>
      <w:r w:rsidR="00F05901">
        <w:rPr>
          <w:szCs w:val="24"/>
        </w:rPr>
        <w:t xml:space="preserve">  highlights the information that should be included in an eInvoice as set out by HMRC. </w:t>
      </w:r>
    </w:p>
    <w:p w:rsidR="00634DD4" w:rsidRDefault="00634DD4" w:rsidP="00B5406D">
      <w:pPr>
        <w:jc w:val="left"/>
        <w:rPr>
          <w:szCs w:val="24"/>
        </w:rPr>
      </w:pPr>
    </w:p>
    <w:p w:rsidR="006C3E30" w:rsidRPr="006C3E30" w:rsidRDefault="006C3E30" w:rsidP="00B5406D">
      <w:pPr>
        <w:jc w:val="left"/>
        <w:rPr>
          <w:szCs w:val="24"/>
        </w:rPr>
      </w:pPr>
    </w:p>
    <w:p w:rsidR="00F05901" w:rsidRPr="00F05901" w:rsidRDefault="00F05901" w:rsidP="00B5406D">
      <w:pPr>
        <w:pStyle w:val="Heading1"/>
        <w:jc w:val="left"/>
        <w:rPr>
          <w:b/>
        </w:rPr>
      </w:pPr>
      <w:bookmarkStart w:id="19" w:name="_Toc431453291"/>
      <w:r w:rsidRPr="00F05901">
        <w:rPr>
          <w:b/>
        </w:rPr>
        <w:t>Further Information</w:t>
      </w:r>
      <w:bookmarkEnd w:id="19"/>
    </w:p>
    <w:p w:rsidR="00F05901" w:rsidRDefault="00F05901" w:rsidP="00B5406D">
      <w:pPr>
        <w:jc w:val="left"/>
        <w:rPr>
          <w:b/>
          <w:szCs w:val="24"/>
          <w:u w:val="single"/>
        </w:rPr>
      </w:pPr>
    </w:p>
    <w:p w:rsidR="00F05901" w:rsidRDefault="00F05901" w:rsidP="00B5406D">
      <w:pPr>
        <w:jc w:val="left"/>
        <w:rPr>
          <w:rStyle w:val="Hyperlink"/>
          <w:szCs w:val="24"/>
        </w:rPr>
      </w:pPr>
      <w:r>
        <w:rPr>
          <w:szCs w:val="24"/>
        </w:rPr>
        <w:t xml:space="preserve">For further information on the SG eInvoicing solution, please </w:t>
      </w:r>
      <w:hyperlink r:id="rId14" w:history="1">
        <w:r w:rsidRPr="00B5406D">
          <w:rPr>
            <w:rStyle w:val="Hyperlink"/>
            <w:szCs w:val="24"/>
          </w:rPr>
          <w:t>c</w:t>
        </w:r>
        <w:r w:rsidR="00B5406D" w:rsidRPr="00B5406D">
          <w:rPr>
            <w:rStyle w:val="Hyperlink"/>
            <w:szCs w:val="24"/>
          </w:rPr>
          <w:t>ontact the eInvoicing mailbox</w:t>
        </w:r>
      </w:hyperlink>
      <w:r w:rsidR="00B5406D">
        <w:rPr>
          <w:szCs w:val="24"/>
        </w:rPr>
        <w:t>.</w:t>
      </w:r>
      <w:r>
        <w:rPr>
          <w:szCs w:val="24"/>
        </w:rPr>
        <w:t xml:space="preserve">  </w:t>
      </w:r>
    </w:p>
    <w:p w:rsidR="00F05901" w:rsidRDefault="00F05901" w:rsidP="00B5406D">
      <w:pPr>
        <w:jc w:val="left"/>
        <w:rPr>
          <w:b/>
          <w:szCs w:val="24"/>
        </w:rPr>
      </w:pPr>
    </w:p>
    <w:p w:rsidR="00F05901" w:rsidRDefault="00F05901" w:rsidP="00B5406D">
      <w:pPr>
        <w:jc w:val="left"/>
        <w:rPr>
          <w:b/>
          <w:szCs w:val="24"/>
        </w:rPr>
      </w:pPr>
      <w:r>
        <w:rPr>
          <w:szCs w:val="24"/>
        </w:rPr>
        <w:t xml:space="preserve">For further information relating to contents of an eInvoice </w:t>
      </w:r>
      <w:hyperlink r:id="rId15" w:history="1">
        <w:r w:rsidRPr="00B5406D">
          <w:rPr>
            <w:rStyle w:val="Hyperlink"/>
            <w:szCs w:val="24"/>
          </w:rPr>
          <w:t>you can access the HMRC guidance</w:t>
        </w:r>
      </w:hyperlink>
      <w:r w:rsidR="00B5406D">
        <w:rPr>
          <w:szCs w:val="24"/>
        </w:rPr>
        <w:t>.</w:t>
      </w:r>
    </w:p>
    <w:p w:rsidR="00876C58" w:rsidRDefault="00876C58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C06C88" w:rsidRDefault="00C06C88" w:rsidP="00083B75">
      <w:pPr>
        <w:jc w:val="center"/>
        <w:rPr>
          <w:b/>
          <w:sz w:val="56"/>
          <w:szCs w:val="56"/>
        </w:rPr>
      </w:pPr>
    </w:p>
    <w:p w:rsidR="00F05901" w:rsidRDefault="00F05901" w:rsidP="00083B75">
      <w:pPr>
        <w:jc w:val="center"/>
        <w:rPr>
          <w:b/>
          <w:sz w:val="56"/>
          <w:szCs w:val="56"/>
        </w:rPr>
      </w:pPr>
    </w:p>
    <w:p w:rsidR="007904CD" w:rsidRPr="00F05901" w:rsidRDefault="007904CD" w:rsidP="002B18DC">
      <w:pPr>
        <w:pStyle w:val="Heading1"/>
        <w:numPr>
          <w:ilvl w:val="0"/>
          <w:numId w:val="0"/>
        </w:numPr>
        <w:rPr>
          <w:b/>
        </w:rPr>
      </w:pPr>
      <w:bookmarkStart w:id="20" w:name="_Toc431453292"/>
      <w:r w:rsidRPr="00F05901">
        <w:rPr>
          <w:b/>
        </w:rPr>
        <w:t>Annex A</w:t>
      </w:r>
      <w:bookmarkEnd w:id="20"/>
    </w:p>
    <w:p w:rsidR="00CB1CBA" w:rsidRPr="00AE40CA" w:rsidRDefault="00083B75" w:rsidP="00083B75">
      <w:pPr>
        <w:jc w:val="center"/>
        <w:rPr>
          <w:b/>
          <w:sz w:val="56"/>
          <w:szCs w:val="56"/>
        </w:rPr>
      </w:pPr>
      <w:r w:rsidRPr="00B5406D">
        <w:rPr>
          <w:b/>
          <w:sz w:val="56"/>
          <w:szCs w:val="56"/>
          <w:highlight w:val="yellow"/>
        </w:rPr>
        <w:t>INVOICE</w:t>
      </w:r>
    </w:p>
    <w:p w:rsidR="00CB1CBA" w:rsidRPr="00AE40CA" w:rsidRDefault="00083B75" w:rsidP="00E36759">
      <w:pPr>
        <w:rPr>
          <w:b/>
          <w:szCs w:val="24"/>
        </w:rPr>
      </w:pPr>
      <w:r w:rsidRPr="00B5406D">
        <w:rPr>
          <w:b/>
          <w:szCs w:val="24"/>
          <w:highlight w:val="yellow"/>
        </w:rPr>
        <w:t>ABC Supplies</w:t>
      </w:r>
    </w:p>
    <w:p w:rsidR="00083B75" w:rsidRDefault="00083B75" w:rsidP="00E36759">
      <w:pPr>
        <w:rPr>
          <w:szCs w:val="24"/>
        </w:rPr>
      </w:pPr>
    </w:p>
    <w:p w:rsidR="00083B75" w:rsidRPr="00AE40CA" w:rsidRDefault="00083B75" w:rsidP="00E36759">
      <w:pPr>
        <w:rPr>
          <w:sz w:val="20"/>
        </w:rPr>
      </w:pPr>
      <w:r w:rsidRPr="00B5406D">
        <w:rPr>
          <w:sz w:val="20"/>
          <w:highlight w:val="yellow"/>
        </w:rPr>
        <w:t>VAT Reg No:</w:t>
      </w:r>
      <w:r w:rsidRPr="00B5406D">
        <w:rPr>
          <w:sz w:val="20"/>
          <w:highlight w:val="yellow"/>
        </w:rPr>
        <w:tab/>
        <w:t xml:space="preserve"> GB XXX XXXX XX</w:t>
      </w:r>
      <w:r w:rsidRPr="00AE40CA">
        <w:rPr>
          <w:sz w:val="20"/>
        </w:rPr>
        <w:tab/>
      </w:r>
      <w:r w:rsidRPr="00AE40CA">
        <w:rPr>
          <w:sz w:val="20"/>
        </w:rPr>
        <w:tab/>
        <w:t xml:space="preserve">Invoice No: </w:t>
      </w:r>
      <w:r w:rsidRPr="00AE40CA">
        <w:rPr>
          <w:sz w:val="20"/>
        </w:rPr>
        <w:tab/>
      </w:r>
      <w:r w:rsidRPr="00B5406D">
        <w:rPr>
          <w:sz w:val="20"/>
          <w:highlight w:val="yellow"/>
        </w:rPr>
        <w:t>123456789</w:t>
      </w:r>
    </w:p>
    <w:p w:rsidR="00083B75" w:rsidRPr="00AE40CA" w:rsidRDefault="00083B75" w:rsidP="00E36759">
      <w:pPr>
        <w:rPr>
          <w:sz w:val="20"/>
        </w:rPr>
      </w:pP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  <w:t xml:space="preserve">Customer No: </w:t>
      </w:r>
      <w:r w:rsidRPr="00AE40CA">
        <w:rPr>
          <w:sz w:val="20"/>
        </w:rPr>
        <w:tab/>
        <w:t>987654321</w:t>
      </w:r>
    </w:p>
    <w:p w:rsidR="00083B75" w:rsidRPr="00AE40CA" w:rsidRDefault="00083B75" w:rsidP="00E36759">
      <w:pPr>
        <w:rPr>
          <w:sz w:val="20"/>
        </w:rPr>
      </w:pPr>
      <w:r w:rsidRPr="00AE40CA">
        <w:rPr>
          <w:sz w:val="20"/>
        </w:rPr>
        <w:t xml:space="preserve">To: </w:t>
      </w:r>
      <w:r w:rsidRPr="00AE40CA">
        <w:rPr>
          <w:sz w:val="20"/>
        </w:rPr>
        <w:tab/>
      </w:r>
      <w:r w:rsidRPr="00B5406D">
        <w:rPr>
          <w:sz w:val="20"/>
          <w:highlight w:val="yellow"/>
        </w:rPr>
        <w:t>Example Org</w:t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  <w:t xml:space="preserve">Date/Tax Point: </w:t>
      </w:r>
      <w:r w:rsidRPr="00AE40CA">
        <w:rPr>
          <w:sz w:val="20"/>
        </w:rPr>
        <w:tab/>
      </w:r>
      <w:r w:rsidRPr="00B5406D">
        <w:rPr>
          <w:sz w:val="20"/>
          <w:highlight w:val="yellow"/>
        </w:rPr>
        <w:t>05/05/2015</w:t>
      </w:r>
      <w:r w:rsidRPr="00AE40CA">
        <w:rPr>
          <w:sz w:val="20"/>
        </w:rPr>
        <w:t xml:space="preserve"> </w:t>
      </w:r>
    </w:p>
    <w:p w:rsidR="00083B75" w:rsidRPr="00AE40CA" w:rsidRDefault="00083B75" w:rsidP="00E36759">
      <w:pPr>
        <w:rPr>
          <w:sz w:val="20"/>
        </w:rPr>
      </w:pPr>
      <w:r w:rsidRPr="00AE40CA">
        <w:rPr>
          <w:sz w:val="20"/>
        </w:rPr>
        <w:tab/>
        <w:t>1 High Street</w:t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</w:p>
    <w:p w:rsidR="00083B75" w:rsidRPr="00AE40CA" w:rsidRDefault="00083B75" w:rsidP="00E36759">
      <w:pPr>
        <w:rPr>
          <w:sz w:val="20"/>
        </w:rPr>
      </w:pPr>
      <w:r w:rsidRPr="00AE40CA">
        <w:rPr>
          <w:sz w:val="20"/>
        </w:rPr>
        <w:tab/>
        <w:t>Edinburgh</w:t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  <w:t xml:space="preserve">From:   </w:t>
      </w:r>
      <w:r w:rsidRPr="00B5406D">
        <w:rPr>
          <w:sz w:val="20"/>
          <w:highlight w:val="yellow"/>
        </w:rPr>
        <w:t>ABC Supplies</w:t>
      </w:r>
      <w:r w:rsidRPr="00AE40CA">
        <w:rPr>
          <w:sz w:val="20"/>
        </w:rPr>
        <w:tab/>
      </w:r>
    </w:p>
    <w:p w:rsidR="00083B75" w:rsidRDefault="00083B75" w:rsidP="00E36759">
      <w:pPr>
        <w:rPr>
          <w:sz w:val="20"/>
        </w:rPr>
      </w:pPr>
      <w:r w:rsidRPr="00AE40CA">
        <w:rPr>
          <w:sz w:val="20"/>
        </w:rPr>
        <w:tab/>
        <w:t>EH1 2AB</w:t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  <w:t xml:space="preserve">            </w:t>
      </w:r>
      <w:r w:rsidRPr="00B5406D">
        <w:rPr>
          <w:sz w:val="20"/>
          <w:highlight w:val="yellow"/>
        </w:rPr>
        <w:t>Finance Section</w:t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  <w:t xml:space="preserve">            </w:t>
      </w:r>
      <w:r w:rsidR="00AE40CA" w:rsidRPr="00B5406D">
        <w:rPr>
          <w:sz w:val="20"/>
          <w:highlight w:val="yellow"/>
        </w:rPr>
        <w:t>1 High Street</w:t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Pr="00AE40CA">
        <w:rPr>
          <w:sz w:val="20"/>
        </w:rPr>
        <w:tab/>
      </w:r>
      <w:r w:rsidR="00AE40CA" w:rsidRPr="00AE40CA">
        <w:rPr>
          <w:sz w:val="20"/>
        </w:rPr>
        <w:tab/>
      </w:r>
      <w:r w:rsidR="00AE40CA" w:rsidRPr="00AE40CA">
        <w:rPr>
          <w:sz w:val="20"/>
        </w:rPr>
        <w:tab/>
      </w:r>
      <w:r w:rsidR="00AE40CA" w:rsidRPr="00AE40CA">
        <w:rPr>
          <w:sz w:val="20"/>
        </w:rPr>
        <w:tab/>
        <w:t xml:space="preserve">            </w:t>
      </w:r>
      <w:r w:rsidR="00AE40CA" w:rsidRPr="00B5406D">
        <w:rPr>
          <w:sz w:val="20"/>
          <w:highlight w:val="yellow"/>
        </w:rPr>
        <w:t>Glasgow, G1 2AB</w:t>
      </w:r>
    </w:p>
    <w:p w:rsidR="00163980" w:rsidRDefault="00163980" w:rsidP="00E36759">
      <w:pPr>
        <w:rPr>
          <w:sz w:val="20"/>
        </w:rPr>
      </w:pPr>
    </w:p>
    <w:p w:rsidR="00163980" w:rsidRPr="00AE40CA" w:rsidRDefault="00C410E8" w:rsidP="00E36759">
      <w:pPr>
        <w:rPr>
          <w:sz w:val="20"/>
        </w:rPr>
      </w:pPr>
      <w:r w:rsidRPr="00EA1FA6">
        <w:rPr>
          <w:sz w:val="20"/>
        </w:rPr>
        <w:t>Customer VAT Number:</w:t>
      </w:r>
      <w:r w:rsidRPr="00AE40CA">
        <w:rPr>
          <w:sz w:val="20"/>
        </w:rPr>
        <w:t xml:space="preserve"> </w:t>
      </w:r>
      <w:r w:rsidR="00163980">
        <w:rPr>
          <w:sz w:val="20"/>
        </w:rPr>
        <w:tab/>
      </w:r>
      <w:r w:rsidR="00163980">
        <w:rPr>
          <w:sz w:val="20"/>
        </w:rPr>
        <w:tab/>
      </w:r>
      <w:r w:rsidR="00163980">
        <w:rPr>
          <w:sz w:val="20"/>
        </w:rPr>
        <w:tab/>
      </w:r>
      <w:r w:rsidR="00163980">
        <w:rPr>
          <w:sz w:val="20"/>
        </w:rPr>
        <w:tab/>
        <w:t>For invoice queries Contact: Joe Bloggs</w:t>
      </w:r>
    </w:p>
    <w:p w:rsidR="00AE40CA" w:rsidRPr="00AE40CA" w:rsidRDefault="00C410E8" w:rsidP="00E36759">
      <w:pPr>
        <w:rPr>
          <w:sz w:val="20"/>
        </w:rPr>
      </w:pPr>
      <w:r w:rsidRPr="00AE40CA">
        <w:rPr>
          <w:sz w:val="20"/>
        </w:rPr>
        <w:t xml:space="preserve">Purchase Order No: </w:t>
      </w:r>
      <w:r w:rsidRPr="00B5406D">
        <w:rPr>
          <w:sz w:val="20"/>
          <w:highlight w:val="yellow"/>
        </w:rPr>
        <w:t>12345678</w:t>
      </w:r>
      <w:r w:rsidR="00163980">
        <w:rPr>
          <w:sz w:val="20"/>
        </w:rPr>
        <w:tab/>
      </w:r>
      <w:r w:rsidR="00163980">
        <w:rPr>
          <w:sz w:val="20"/>
        </w:rPr>
        <w:tab/>
      </w:r>
      <w:r w:rsidR="00163980">
        <w:rPr>
          <w:sz w:val="20"/>
        </w:rPr>
        <w:tab/>
      </w:r>
      <w:r>
        <w:rPr>
          <w:sz w:val="20"/>
        </w:rPr>
        <w:t>Telephone: 0131 123 4567</w:t>
      </w:r>
    </w:p>
    <w:p w:rsidR="00C410E8" w:rsidRDefault="00C410E8" w:rsidP="00E3675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Email: </w:t>
      </w:r>
      <w:hyperlink r:id="rId16" w:history="1">
        <w:r w:rsidRPr="00B524B5">
          <w:rPr>
            <w:rStyle w:val="Hyperlink"/>
            <w:sz w:val="20"/>
          </w:rPr>
          <w:t>joe.bloggs@abc.co.uk</w:t>
        </w:r>
      </w:hyperlink>
      <w:r>
        <w:rPr>
          <w:sz w:val="20"/>
        </w:rPr>
        <w:t xml:space="preserve"> </w:t>
      </w:r>
    </w:p>
    <w:p w:rsidR="00AE40CA" w:rsidRPr="00AE40CA" w:rsidRDefault="00AE40CA" w:rsidP="00E36759">
      <w:pPr>
        <w:rPr>
          <w:sz w:val="20"/>
        </w:rPr>
      </w:pPr>
    </w:p>
    <w:p w:rsidR="00AE40CA" w:rsidRPr="00AE40CA" w:rsidRDefault="00C410E8" w:rsidP="00C410E8">
      <w:pPr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Currency: GBP</w:t>
      </w:r>
      <w:r>
        <w:rPr>
          <w:sz w:val="20"/>
        </w:rPr>
        <w:tab/>
      </w:r>
    </w:p>
    <w:p w:rsidR="00AE40CA" w:rsidRPr="00AE40CA" w:rsidRDefault="00C410E8" w:rsidP="00E3675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E40CA" w:rsidRPr="00AE40CA" w:rsidRDefault="00AE40CA" w:rsidP="00E36759">
      <w:pPr>
        <w:rPr>
          <w:sz w:val="20"/>
        </w:rPr>
      </w:pPr>
    </w:p>
    <w:p w:rsidR="00AE40CA" w:rsidRPr="00AE40CA" w:rsidRDefault="00AE40CA" w:rsidP="00E36759">
      <w:pPr>
        <w:rPr>
          <w:sz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794"/>
        <w:gridCol w:w="567"/>
        <w:gridCol w:w="1134"/>
        <w:gridCol w:w="1134"/>
        <w:gridCol w:w="704"/>
        <w:gridCol w:w="713"/>
        <w:gridCol w:w="1196"/>
      </w:tblGrid>
      <w:tr w:rsidR="00AE40CA" w:rsidRPr="00AE40CA" w:rsidTr="00AE40CA">
        <w:tc>
          <w:tcPr>
            <w:tcW w:w="3794" w:type="dxa"/>
          </w:tcPr>
          <w:p w:rsidR="00AE40CA" w:rsidRPr="00AE40CA" w:rsidRDefault="00AE40CA" w:rsidP="00E36759">
            <w:pPr>
              <w:rPr>
                <w:b/>
                <w:sz w:val="20"/>
              </w:rPr>
            </w:pPr>
            <w:r w:rsidRPr="00AE40CA">
              <w:rPr>
                <w:b/>
                <w:sz w:val="20"/>
              </w:rPr>
              <w:t>Description</w:t>
            </w:r>
          </w:p>
        </w:tc>
        <w:tc>
          <w:tcPr>
            <w:tcW w:w="567" w:type="dxa"/>
          </w:tcPr>
          <w:p w:rsidR="00AE40CA" w:rsidRPr="00AE40CA" w:rsidRDefault="00AE40CA" w:rsidP="00E36759">
            <w:pPr>
              <w:rPr>
                <w:b/>
                <w:sz w:val="20"/>
              </w:rPr>
            </w:pPr>
            <w:r w:rsidRPr="00AE40CA">
              <w:rPr>
                <w:b/>
                <w:sz w:val="20"/>
              </w:rPr>
              <w:t>Qty</w:t>
            </w:r>
          </w:p>
        </w:tc>
        <w:tc>
          <w:tcPr>
            <w:tcW w:w="1134" w:type="dxa"/>
          </w:tcPr>
          <w:p w:rsidR="00AE40CA" w:rsidRPr="00AE40CA" w:rsidRDefault="00AE40CA" w:rsidP="00E36759">
            <w:pPr>
              <w:rPr>
                <w:b/>
                <w:sz w:val="20"/>
              </w:rPr>
            </w:pPr>
            <w:r w:rsidRPr="00AE40CA">
              <w:rPr>
                <w:b/>
                <w:sz w:val="20"/>
              </w:rPr>
              <w:t>Unit Price</w:t>
            </w:r>
          </w:p>
          <w:p w:rsidR="00AE40CA" w:rsidRPr="00AE40CA" w:rsidRDefault="00AE40CA" w:rsidP="00AE40CA">
            <w:pPr>
              <w:rPr>
                <w:b/>
                <w:sz w:val="20"/>
              </w:rPr>
            </w:pPr>
            <w:r w:rsidRPr="00AE40CA">
              <w:rPr>
                <w:b/>
                <w:sz w:val="20"/>
              </w:rPr>
              <w:t>(ex VAT)</w:t>
            </w:r>
          </w:p>
        </w:tc>
        <w:tc>
          <w:tcPr>
            <w:tcW w:w="1134" w:type="dxa"/>
          </w:tcPr>
          <w:p w:rsidR="00AE40CA" w:rsidRPr="00AE40CA" w:rsidRDefault="00AE40CA" w:rsidP="00E36759">
            <w:pPr>
              <w:rPr>
                <w:b/>
                <w:sz w:val="20"/>
              </w:rPr>
            </w:pPr>
            <w:r w:rsidRPr="00AE40CA">
              <w:rPr>
                <w:b/>
                <w:sz w:val="20"/>
              </w:rPr>
              <w:t>Amount</w:t>
            </w:r>
          </w:p>
          <w:p w:rsidR="00AE40CA" w:rsidRPr="00AE40CA" w:rsidRDefault="00AE40CA" w:rsidP="00E36759">
            <w:pPr>
              <w:rPr>
                <w:b/>
                <w:sz w:val="20"/>
              </w:rPr>
            </w:pPr>
            <w:r w:rsidRPr="00AE40CA">
              <w:rPr>
                <w:b/>
                <w:sz w:val="20"/>
              </w:rPr>
              <w:t>(ex VAT)</w:t>
            </w:r>
          </w:p>
        </w:tc>
        <w:tc>
          <w:tcPr>
            <w:tcW w:w="704" w:type="dxa"/>
          </w:tcPr>
          <w:p w:rsidR="00AE40CA" w:rsidRPr="00AE40CA" w:rsidRDefault="00AE40CA" w:rsidP="00E36759">
            <w:pPr>
              <w:rPr>
                <w:b/>
                <w:sz w:val="20"/>
              </w:rPr>
            </w:pPr>
            <w:r w:rsidRPr="00AE40CA">
              <w:rPr>
                <w:b/>
                <w:sz w:val="20"/>
              </w:rPr>
              <w:t>VAT Rate</w:t>
            </w:r>
          </w:p>
        </w:tc>
        <w:tc>
          <w:tcPr>
            <w:tcW w:w="713" w:type="dxa"/>
          </w:tcPr>
          <w:p w:rsidR="00AE40CA" w:rsidRPr="00AE40CA" w:rsidRDefault="00AE40CA" w:rsidP="00E36759">
            <w:pPr>
              <w:rPr>
                <w:b/>
                <w:sz w:val="20"/>
              </w:rPr>
            </w:pPr>
            <w:r w:rsidRPr="00AE40CA">
              <w:rPr>
                <w:b/>
                <w:sz w:val="20"/>
              </w:rPr>
              <w:t>VAT</w:t>
            </w:r>
          </w:p>
        </w:tc>
        <w:tc>
          <w:tcPr>
            <w:tcW w:w="1196" w:type="dxa"/>
          </w:tcPr>
          <w:p w:rsidR="00AE40CA" w:rsidRPr="00AE40CA" w:rsidRDefault="00AE40CA" w:rsidP="00E36759">
            <w:pPr>
              <w:rPr>
                <w:b/>
                <w:sz w:val="20"/>
              </w:rPr>
            </w:pPr>
            <w:r w:rsidRPr="00AE40CA">
              <w:rPr>
                <w:b/>
                <w:sz w:val="20"/>
              </w:rPr>
              <w:t>Line Value</w:t>
            </w:r>
          </w:p>
        </w:tc>
      </w:tr>
    </w:tbl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  <w:r w:rsidRPr="00B5406D">
        <w:rPr>
          <w:sz w:val="20"/>
          <w:highlight w:val="yellow"/>
        </w:rPr>
        <w:t>Spec – 1244A</w:t>
      </w:r>
      <w:r w:rsidR="00AE40CA" w:rsidRPr="00AE40CA">
        <w:rPr>
          <w:sz w:val="20"/>
        </w:rPr>
        <w:tab/>
        <w:t xml:space="preserve">1    </w:t>
      </w:r>
      <w:r w:rsidR="00AE40CA" w:rsidRPr="00B5406D">
        <w:rPr>
          <w:sz w:val="20"/>
          <w:highlight w:val="yellow"/>
        </w:rPr>
        <w:t xml:space="preserve">1,350.00 </w:t>
      </w:r>
      <w:r w:rsidR="00AE40CA" w:rsidRPr="00B5406D">
        <w:rPr>
          <w:sz w:val="20"/>
          <w:highlight w:val="yellow"/>
        </w:rPr>
        <w:tab/>
        <w:t>1,350.00</w:t>
      </w:r>
      <w:r w:rsidR="00AE40CA" w:rsidRPr="00B5406D">
        <w:rPr>
          <w:sz w:val="20"/>
          <w:highlight w:val="yellow"/>
        </w:rPr>
        <w:tab/>
        <w:t xml:space="preserve"> 20.00</w:t>
      </w:r>
      <w:r w:rsidR="00AE40CA">
        <w:rPr>
          <w:sz w:val="20"/>
        </w:rPr>
        <w:t xml:space="preserve">  </w:t>
      </w:r>
      <w:r w:rsidR="00AE40CA">
        <w:rPr>
          <w:sz w:val="20"/>
        </w:rPr>
        <w:tab/>
        <w:t xml:space="preserve"> </w:t>
      </w:r>
      <w:r w:rsidR="00AE40CA" w:rsidRPr="00C410E8">
        <w:rPr>
          <w:sz w:val="20"/>
        </w:rPr>
        <w:t>270.00</w:t>
      </w:r>
      <w:r w:rsidR="00AE40CA">
        <w:rPr>
          <w:sz w:val="20"/>
        </w:rPr>
        <w:tab/>
        <w:t xml:space="preserve">  </w:t>
      </w:r>
      <w:r w:rsidR="00AE40CA" w:rsidRPr="00C410E8">
        <w:rPr>
          <w:sz w:val="20"/>
        </w:rPr>
        <w:t>1,620.00</w:t>
      </w: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202CF6" w:rsidRDefault="00202CF6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</w:rPr>
      </w:pPr>
    </w:p>
    <w:p w:rsidR="00163980" w:rsidRDefault="00163980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b/>
          <w:sz w:val="20"/>
        </w:rPr>
      </w:pPr>
      <w:r>
        <w:rPr>
          <w:sz w:val="20"/>
        </w:rPr>
        <w:tab/>
      </w:r>
      <w:r w:rsidRPr="00163980">
        <w:rPr>
          <w:b/>
          <w:sz w:val="20"/>
        </w:rPr>
        <w:t>Total</w:t>
      </w:r>
      <w:r>
        <w:rPr>
          <w:b/>
          <w:sz w:val="20"/>
        </w:rPr>
        <w:t xml:space="preserve">: </w:t>
      </w:r>
      <w:r>
        <w:rPr>
          <w:b/>
          <w:sz w:val="20"/>
        </w:rPr>
        <w:tab/>
      </w:r>
      <w:r w:rsidRPr="009F7DC3">
        <w:rPr>
          <w:b/>
          <w:sz w:val="20"/>
        </w:rPr>
        <w:t>1,350.00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B5406D">
        <w:rPr>
          <w:b/>
          <w:sz w:val="20"/>
          <w:highlight w:val="yellow"/>
        </w:rPr>
        <w:t>270.00</w:t>
      </w:r>
      <w:r w:rsidRPr="00B5406D">
        <w:rPr>
          <w:b/>
          <w:sz w:val="20"/>
          <w:highlight w:val="yellow"/>
        </w:rPr>
        <w:tab/>
        <w:t>1,620.00</w:t>
      </w:r>
    </w:p>
    <w:p w:rsidR="00163980" w:rsidRDefault="00163980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b/>
          <w:sz w:val="20"/>
        </w:rPr>
      </w:pPr>
    </w:p>
    <w:p w:rsidR="00163980" w:rsidRDefault="00163980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b/>
          <w:sz w:val="20"/>
        </w:rPr>
      </w:pPr>
    </w:p>
    <w:p w:rsidR="00163980" w:rsidRDefault="00163980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b/>
          <w:sz w:val="20"/>
        </w:rPr>
      </w:pPr>
      <w:r w:rsidRPr="00B5406D">
        <w:rPr>
          <w:b/>
          <w:sz w:val="20"/>
          <w:highlight w:val="yellow"/>
        </w:rPr>
        <w:t>Payment Terms: 30 Days</w:t>
      </w:r>
      <w:r>
        <w:rPr>
          <w:b/>
          <w:sz w:val="20"/>
        </w:rPr>
        <w:t xml:space="preserve"> </w:t>
      </w:r>
    </w:p>
    <w:p w:rsidR="00163980" w:rsidRDefault="00163980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</w:t>
      </w:r>
    </w:p>
    <w:p w:rsidR="00163980" w:rsidRDefault="00163980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b/>
          <w:sz w:val="20"/>
        </w:rPr>
      </w:pPr>
    </w:p>
    <w:p w:rsidR="00163980" w:rsidRPr="00B5406D" w:rsidRDefault="00163980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  <w:highlight w:val="yellow"/>
        </w:rPr>
      </w:pPr>
      <w:r w:rsidRPr="00B5406D">
        <w:rPr>
          <w:sz w:val="20"/>
          <w:highlight w:val="yellow"/>
        </w:rPr>
        <w:t>Payment of this invoice can be made using one of the following payment methods:</w:t>
      </w:r>
    </w:p>
    <w:p w:rsidR="00163980" w:rsidRPr="00B5406D" w:rsidRDefault="00163980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  <w:highlight w:val="yellow"/>
        </w:rPr>
      </w:pPr>
      <w:r w:rsidRPr="00B5406D">
        <w:rPr>
          <w:b/>
          <w:sz w:val="20"/>
          <w:highlight w:val="yellow"/>
        </w:rPr>
        <w:t xml:space="preserve">Online:  </w:t>
      </w:r>
      <w:r w:rsidRPr="00B5406D">
        <w:rPr>
          <w:sz w:val="20"/>
          <w:highlight w:val="yellow"/>
        </w:rPr>
        <w:t xml:space="preserve">Debit or Credit card payments </w:t>
      </w:r>
      <w:hyperlink r:id="rId17" w:history="1">
        <w:r w:rsidRPr="00B5406D">
          <w:rPr>
            <w:rStyle w:val="Hyperlink"/>
            <w:sz w:val="20"/>
            <w:highlight w:val="yellow"/>
          </w:rPr>
          <w:t>www.abc.co.uk</w:t>
        </w:r>
      </w:hyperlink>
      <w:r w:rsidRPr="00B5406D">
        <w:rPr>
          <w:sz w:val="20"/>
          <w:highlight w:val="yellow"/>
        </w:rPr>
        <w:t xml:space="preserve"> </w:t>
      </w:r>
    </w:p>
    <w:p w:rsidR="00163980" w:rsidRPr="00B5406D" w:rsidRDefault="00163980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sz w:val="20"/>
          <w:highlight w:val="yellow"/>
        </w:rPr>
      </w:pPr>
      <w:r w:rsidRPr="00B5406D">
        <w:rPr>
          <w:b/>
          <w:sz w:val="20"/>
          <w:highlight w:val="yellow"/>
        </w:rPr>
        <w:t xml:space="preserve">BACS or Bank Transfer: </w:t>
      </w:r>
      <w:r w:rsidRPr="00B5406D">
        <w:rPr>
          <w:sz w:val="20"/>
          <w:highlight w:val="yellow"/>
        </w:rPr>
        <w:t>Bank of Scotland, Sort Code: 123456, Account: 12345678</w:t>
      </w:r>
    </w:p>
    <w:p w:rsidR="00AE40CA" w:rsidRPr="00163980" w:rsidRDefault="00C410E8" w:rsidP="00AE40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3960"/>
          <w:tab w:val="left" w:pos="5460"/>
        </w:tabs>
        <w:rPr>
          <w:b/>
          <w:sz w:val="20"/>
        </w:rPr>
      </w:pPr>
      <w:r w:rsidRPr="00B5406D">
        <w:rPr>
          <w:sz w:val="20"/>
          <w:highlight w:val="yellow"/>
        </w:rPr>
        <w:t xml:space="preserve">General account enquiries should be directed to </w:t>
      </w:r>
      <w:hyperlink r:id="rId18" w:history="1">
        <w:r w:rsidRPr="00B5406D">
          <w:rPr>
            <w:rStyle w:val="Hyperlink"/>
            <w:sz w:val="20"/>
            <w:highlight w:val="yellow"/>
          </w:rPr>
          <w:t>creditctr@abc.co.uk</w:t>
        </w:r>
      </w:hyperlink>
      <w:r>
        <w:rPr>
          <w:sz w:val="20"/>
        </w:rPr>
        <w:t xml:space="preserve"> </w:t>
      </w:r>
      <w:r w:rsidR="00163980">
        <w:rPr>
          <w:sz w:val="20"/>
        </w:rPr>
        <w:t xml:space="preserve"> </w:t>
      </w:r>
      <w:r w:rsidR="00163980">
        <w:rPr>
          <w:b/>
          <w:sz w:val="20"/>
        </w:rPr>
        <w:t xml:space="preserve"> </w:t>
      </w:r>
      <w:r w:rsidR="00202CF6" w:rsidRPr="00163980">
        <w:rPr>
          <w:b/>
          <w:sz w:val="20"/>
        </w:rPr>
        <w:tab/>
      </w:r>
      <w:r w:rsidR="00163980" w:rsidRPr="00163980">
        <w:rPr>
          <w:b/>
          <w:sz w:val="20"/>
        </w:rPr>
        <w:t xml:space="preserve">             </w:t>
      </w:r>
      <w:r w:rsidR="00202CF6" w:rsidRPr="00163980">
        <w:rPr>
          <w:b/>
          <w:sz w:val="20"/>
        </w:rPr>
        <w:tab/>
      </w:r>
      <w:r w:rsidR="00AE40CA" w:rsidRPr="00163980">
        <w:rPr>
          <w:b/>
          <w:sz w:val="20"/>
        </w:rPr>
        <w:tab/>
      </w:r>
    </w:p>
    <w:sectPr w:rsidR="00AE40CA" w:rsidRPr="00163980" w:rsidSect="001731B3">
      <w:headerReference w:type="default" r:id="rId19"/>
      <w:footerReference w:type="default" r:id="rId2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55" w:rsidRDefault="00724655">
      <w:pPr>
        <w:spacing w:line="240" w:lineRule="auto"/>
      </w:pPr>
      <w:r>
        <w:separator/>
      </w:r>
    </w:p>
  </w:endnote>
  <w:endnote w:type="continuationSeparator" w:id="0">
    <w:p w:rsidR="00724655" w:rsidRDefault="00724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51" w:rsidRPr="0067486A" w:rsidRDefault="00930E51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55" w:rsidRDefault="00724655">
      <w:pPr>
        <w:spacing w:line="240" w:lineRule="auto"/>
      </w:pPr>
      <w:r>
        <w:separator/>
      </w:r>
    </w:p>
  </w:footnote>
  <w:footnote w:type="continuationSeparator" w:id="0">
    <w:p w:rsidR="00724655" w:rsidRDefault="007246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51" w:rsidRPr="0067486A" w:rsidRDefault="00930E51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12E80612"/>
    <w:multiLevelType w:val="hybridMultilevel"/>
    <w:tmpl w:val="F31E6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166E4"/>
    <w:multiLevelType w:val="hybridMultilevel"/>
    <w:tmpl w:val="E74C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41CE1"/>
    <w:multiLevelType w:val="hybridMultilevel"/>
    <w:tmpl w:val="49D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C18AC"/>
    <w:multiLevelType w:val="hybridMultilevel"/>
    <w:tmpl w:val="51A6A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37C28"/>
    <w:multiLevelType w:val="hybridMultilevel"/>
    <w:tmpl w:val="D7BC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0F91"/>
    <w:rsid w:val="000139A7"/>
    <w:rsid w:val="000143DF"/>
    <w:rsid w:val="00020A6D"/>
    <w:rsid w:val="00056BDA"/>
    <w:rsid w:val="00083B75"/>
    <w:rsid w:val="000E5858"/>
    <w:rsid w:val="00100021"/>
    <w:rsid w:val="00100D75"/>
    <w:rsid w:val="001021D5"/>
    <w:rsid w:val="001267F7"/>
    <w:rsid w:val="00147295"/>
    <w:rsid w:val="00157346"/>
    <w:rsid w:val="00163980"/>
    <w:rsid w:val="001731B3"/>
    <w:rsid w:val="001817AE"/>
    <w:rsid w:val="00192DC7"/>
    <w:rsid w:val="001D2017"/>
    <w:rsid w:val="00202CF6"/>
    <w:rsid w:val="00247AEC"/>
    <w:rsid w:val="0028086D"/>
    <w:rsid w:val="00290922"/>
    <w:rsid w:val="002B18DC"/>
    <w:rsid w:val="002B7058"/>
    <w:rsid w:val="002E0EA5"/>
    <w:rsid w:val="002F3688"/>
    <w:rsid w:val="003007BB"/>
    <w:rsid w:val="003572A9"/>
    <w:rsid w:val="003B3E3C"/>
    <w:rsid w:val="003F2479"/>
    <w:rsid w:val="00406B50"/>
    <w:rsid w:val="0041017F"/>
    <w:rsid w:val="00411FC4"/>
    <w:rsid w:val="00422C7D"/>
    <w:rsid w:val="004807E5"/>
    <w:rsid w:val="004A0199"/>
    <w:rsid w:val="004B2146"/>
    <w:rsid w:val="004F1F23"/>
    <w:rsid w:val="00517FA8"/>
    <w:rsid w:val="00521EB1"/>
    <w:rsid w:val="00532CC3"/>
    <w:rsid w:val="005679E6"/>
    <w:rsid w:val="005B5C61"/>
    <w:rsid w:val="005C4D5C"/>
    <w:rsid w:val="006127D3"/>
    <w:rsid w:val="006202DB"/>
    <w:rsid w:val="00634DD4"/>
    <w:rsid w:val="00644BAA"/>
    <w:rsid w:val="006556DE"/>
    <w:rsid w:val="00661142"/>
    <w:rsid w:val="0067486A"/>
    <w:rsid w:val="006A6739"/>
    <w:rsid w:val="006B4F5A"/>
    <w:rsid w:val="006C3E30"/>
    <w:rsid w:val="006D26F7"/>
    <w:rsid w:val="006D3BB3"/>
    <w:rsid w:val="00724655"/>
    <w:rsid w:val="00734506"/>
    <w:rsid w:val="0074778D"/>
    <w:rsid w:val="007544A1"/>
    <w:rsid w:val="00772CDA"/>
    <w:rsid w:val="007764E4"/>
    <w:rsid w:val="007904CD"/>
    <w:rsid w:val="007A01C6"/>
    <w:rsid w:val="007D5406"/>
    <w:rsid w:val="007F7F10"/>
    <w:rsid w:val="008504F4"/>
    <w:rsid w:val="00876C58"/>
    <w:rsid w:val="00893598"/>
    <w:rsid w:val="008D2F88"/>
    <w:rsid w:val="008D6D7D"/>
    <w:rsid w:val="008E1BAE"/>
    <w:rsid w:val="008E21E5"/>
    <w:rsid w:val="008F5CAF"/>
    <w:rsid w:val="00914D6E"/>
    <w:rsid w:val="0092012A"/>
    <w:rsid w:val="00930E51"/>
    <w:rsid w:val="00936482"/>
    <w:rsid w:val="0094484B"/>
    <w:rsid w:val="00944A63"/>
    <w:rsid w:val="00952710"/>
    <w:rsid w:val="00974FCD"/>
    <w:rsid w:val="00992BCD"/>
    <w:rsid w:val="009C15AA"/>
    <w:rsid w:val="009F185E"/>
    <w:rsid w:val="009F71B8"/>
    <w:rsid w:val="009F7DC3"/>
    <w:rsid w:val="00A456D4"/>
    <w:rsid w:val="00A56EBA"/>
    <w:rsid w:val="00A63A8E"/>
    <w:rsid w:val="00A70F91"/>
    <w:rsid w:val="00A909F2"/>
    <w:rsid w:val="00A90A53"/>
    <w:rsid w:val="00AA12A5"/>
    <w:rsid w:val="00AB54FF"/>
    <w:rsid w:val="00AC310B"/>
    <w:rsid w:val="00AD1E7C"/>
    <w:rsid w:val="00AE01CB"/>
    <w:rsid w:val="00AE40CA"/>
    <w:rsid w:val="00B456FA"/>
    <w:rsid w:val="00B5406D"/>
    <w:rsid w:val="00B86B76"/>
    <w:rsid w:val="00C06C88"/>
    <w:rsid w:val="00C1180C"/>
    <w:rsid w:val="00C30145"/>
    <w:rsid w:val="00C410E8"/>
    <w:rsid w:val="00C41CC9"/>
    <w:rsid w:val="00C86FBA"/>
    <w:rsid w:val="00CB1AF3"/>
    <w:rsid w:val="00CB1CBA"/>
    <w:rsid w:val="00CB2B43"/>
    <w:rsid w:val="00CB45EA"/>
    <w:rsid w:val="00D465D5"/>
    <w:rsid w:val="00D46990"/>
    <w:rsid w:val="00D63902"/>
    <w:rsid w:val="00D67805"/>
    <w:rsid w:val="00D750C5"/>
    <w:rsid w:val="00D77A00"/>
    <w:rsid w:val="00DF0245"/>
    <w:rsid w:val="00DF6CEF"/>
    <w:rsid w:val="00E2735A"/>
    <w:rsid w:val="00E3599D"/>
    <w:rsid w:val="00E36759"/>
    <w:rsid w:val="00E517FA"/>
    <w:rsid w:val="00EA1FA6"/>
    <w:rsid w:val="00EB5084"/>
    <w:rsid w:val="00F02C5D"/>
    <w:rsid w:val="00F05901"/>
    <w:rsid w:val="00F117F1"/>
    <w:rsid w:val="00F13EED"/>
    <w:rsid w:val="00F245DB"/>
    <w:rsid w:val="00F46F5F"/>
    <w:rsid w:val="00F74C27"/>
    <w:rsid w:val="00F85FD2"/>
    <w:rsid w:val="00F90219"/>
    <w:rsid w:val="00FA5E25"/>
    <w:rsid w:val="00FB572C"/>
    <w:rsid w:val="00FD71EA"/>
    <w:rsid w:val="00FF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B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E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39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92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817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1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AA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AA"/>
    <w:rPr>
      <w:b/>
      <w:bCs/>
      <w:sz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04CD"/>
    <w:pPr>
      <w:keepNext/>
      <w:keepLines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904C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F0590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517F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B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E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39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92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817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1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AA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AA"/>
    <w:rPr>
      <w:b/>
      <w:bCs/>
      <w:sz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04CD"/>
    <w:pPr>
      <w:keepNext/>
      <w:keepLines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904C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F0590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517F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hyperlink" Target="mailto:creditctr@abc.co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abc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e.bloggs@abc.co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vat-notice-70063-electronic-invoicing" TargetMode="External"/><Relationship Id="rId23" Type="http://schemas.microsoft.com/office/2007/relationships/stylesWithEffects" Target="stylesWithEffects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eInvoicing@scotland.gsi.gov.uk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63D9FF-4EC7-48A2-8DD0-F78A52D8D997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664753A-638C-471A-AC21-B41A9F69120F}">
      <dgm:prSet phldrT="[Text]"/>
      <dgm:spPr/>
      <dgm:t>
        <a:bodyPr/>
        <a:lstStyle/>
        <a:p>
          <a:r>
            <a:rPr lang="en-GB"/>
            <a:t>Supplier sends invoice to unique email address</a:t>
          </a:r>
        </a:p>
      </dgm:t>
    </dgm:pt>
    <dgm:pt modelId="{9294DEF3-AE7F-4AC6-946B-6602747092C0}" type="parTrans" cxnId="{723E8D2F-E224-40B3-9543-32839F9CD93A}">
      <dgm:prSet/>
      <dgm:spPr/>
      <dgm:t>
        <a:bodyPr/>
        <a:lstStyle/>
        <a:p>
          <a:endParaRPr lang="en-GB"/>
        </a:p>
      </dgm:t>
    </dgm:pt>
    <dgm:pt modelId="{B09478FB-C46E-4CF6-8409-585CB879D7EB}" type="sibTrans" cxnId="{723E8D2F-E224-40B3-9543-32839F9CD93A}">
      <dgm:prSet/>
      <dgm:spPr/>
      <dgm:t>
        <a:bodyPr/>
        <a:lstStyle/>
        <a:p>
          <a:endParaRPr lang="en-GB"/>
        </a:p>
      </dgm:t>
    </dgm:pt>
    <dgm:pt modelId="{84DC2812-ACDD-432B-8FDB-4760BF7A5A46}">
      <dgm:prSet phldrT="[Text]"/>
      <dgm:spPr/>
      <dgm:t>
        <a:bodyPr/>
        <a:lstStyle/>
        <a:p>
          <a:r>
            <a:rPr lang="en-GB"/>
            <a:t>Solution picks up and validates invoice</a:t>
          </a:r>
        </a:p>
      </dgm:t>
    </dgm:pt>
    <dgm:pt modelId="{1087D08C-A37F-4A29-87B6-E925A5A74E1F}" type="parTrans" cxnId="{C6469D54-D30A-4FEE-B67E-5CBD794D8207}">
      <dgm:prSet/>
      <dgm:spPr/>
      <dgm:t>
        <a:bodyPr/>
        <a:lstStyle/>
        <a:p>
          <a:endParaRPr lang="en-GB"/>
        </a:p>
      </dgm:t>
    </dgm:pt>
    <dgm:pt modelId="{59616F6A-48BB-4AC7-A609-18D530CEC835}" type="sibTrans" cxnId="{C6469D54-D30A-4FEE-B67E-5CBD794D8207}">
      <dgm:prSet/>
      <dgm:spPr/>
      <dgm:t>
        <a:bodyPr/>
        <a:lstStyle/>
        <a:p>
          <a:endParaRPr lang="en-GB"/>
        </a:p>
      </dgm:t>
    </dgm:pt>
    <dgm:pt modelId="{060DB4F9-AAD9-4A12-B9EF-A3969A2E64C4}">
      <dgm:prSet phldrT="[Text]"/>
      <dgm:spPr/>
      <dgm:t>
        <a:bodyPr/>
        <a:lstStyle/>
        <a:p>
          <a:r>
            <a:rPr lang="en-GB"/>
            <a:t>Solution issues eInvoice to public body for Matching</a:t>
          </a:r>
        </a:p>
      </dgm:t>
    </dgm:pt>
    <dgm:pt modelId="{3B9821B5-E91C-4A9C-BCD5-39B37B6865EE}" type="parTrans" cxnId="{71BDD837-A2C0-40D8-8D7F-AD026CBEE4E8}">
      <dgm:prSet/>
      <dgm:spPr/>
      <dgm:t>
        <a:bodyPr/>
        <a:lstStyle/>
        <a:p>
          <a:endParaRPr lang="en-GB"/>
        </a:p>
      </dgm:t>
    </dgm:pt>
    <dgm:pt modelId="{2916B932-36D7-40DD-9B87-3751F3A694D1}" type="sibTrans" cxnId="{71BDD837-A2C0-40D8-8D7F-AD026CBEE4E8}">
      <dgm:prSet/>
      <dgm:spPr/>
      <dgm:t>
        <a:bodyPr/>
        <a:lstStyle/>
        <a:p>
          <a:endParaRPr lang="en-GB"/>
        </a:p>
      </dgm:t>
    </dgm:pt>
    <dgm:pt modelId="{34A25FE9-F98D-4177-96C0-3784B66CC5E5}">
      <dgm:prSet phldrT="[Text]"/>
      <dgm:spPr/>
      <dgm:t>
        <a:bodyPr/>
        <a:lstStyle/>
        <a:p>
          <a:r>
            <a:rPr lang="en-GB"/>
            <a:t>Invoice is matched and payment is made to the supplier</a:t>
          </a:r>
        </a:p>
      </dgm:t>
    </dgm:pt>
    <dgm:pt modelId="{F40E8669-8CDD-4E5F-A95B-4CFC6EA72215}" type="parTrans" cxnId="{54B966B3-882A-4D9F-B471-37BBBA1F04B0}">
      <dgm:prSet/>
      <dgm:spPr/>
      <dgm:t>
        <a:bodyPr/>
        <a:lstStyle/>
        <a:p>
          <a:endParaRPr lang="en-GB"/>
        </a:p>
      </dgm:t>
    </dgm:pt>
    <dgm:pt modelId="{0E13A827-635E-4ED1-9D10-D090F36E204F}" type="sibTrans" cxnId="{54B966B3-882A-4D9F-B471-37BBBA1F04B0}">
      <dgm:prSet/>
      <dgm:spPr/>
      <dgm:t>
        <a:bodyPr/>
        <a:lstStyle/>
        <a:p>
          <a:endParaRPr lang="en-GB"/>
        </a:p>
      </dgm:t>
    </dgm:pt>
    <dgm:pt modelId="{3E6D563F-1CA3-46AF-9AD9-848C925A7CAE}" type="pres">
      <dgm:prSet presAssocID="{4C63D9FF-4EC7-48A2-8DD0-F78A52D8D99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F6B2F16-1B12-4D15-A674-242EB1AA32C6}" type="pres">
      <dgm:prSet presAssocID="{D664753A-638C-471A-AC21-B41A9F69120F}" presName="node" presStyleLbl="node1" presStyleIdx="0" presStyleCnt="4" custAng="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8AFEB92-0F0A-43B1-AF1A-27D9C889F2B3}" type="pres">
      <dgm:prSet presAssocID="{B09478FB-C46E-4CF6-8409-585CB879D7EB}" presName="sibTrans" presStyleLbl="sibTrans2D1" presStyleIdx="0" presStyleCnt="4"/>
      <dgm:spPr/>
      <dgm:t>
        <a:bodyPr/>
        <a:lstStyle/>
        <a:p>
          <a:endParaRPr lang="en-GB"/>
        </a:p>
      </dgm:t>
    </dgm:pt>
    <dgm:pt modelId="{5145742D-7DC4-4387-BEA3-183278059CF4}" type="pres">
      <dgm:prSet presAssocID="{B09478FB-C46E-4CF6-8409-585CB879D7EB}" presName="connectorText" presStyleLbl="sibTrans2D1" presStyleIdx="0" presStyleCnt="4"/>
      <dgm:spPr/>
      <dgm:t>
        <a:bodyPr/>
        <a:lstStyle/>
        <a:p>
          <a:endParaRPr lang="en-GB"/>
        </a:p>
      </dgm:t>
    </dgm:pt>
    <dgm:pt modelId="{37AAB0CA-18A1-4172-95D8-AA6323CE4B53}" type="pres">
      <dgm:prSet presAssocID="{84DC2812-ACDD-432B-8FDB-4760BF7A5A4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A86E555-7BA9-48E4-8A6C-9E5C4E63BE73}" type="pres">
      <dgm:prSet presAssocID="{59616F6A-48BB-4AC7-A609-18D530CEC835}" presName="sibTrans" presStyleLbl="sibTrans2D1" presStyleIdx="1" presStyleCnt="4"/>
      <dgm:spPr/>
      <dgm:t>
        <a:bodyPr/>
        <a:lstStyle/>
        <a:p>
          <a:endParaRPr lang="en-GB"/>
        </a:p>
      </dgm:t>
    </dgm:pt>
    <dgm:pt modelId="{CB683C1F-A6F5-444F-B11C-CC8ACBE4FB49}" type="pres">
      <dgm:prSet presAssocID="{59616F6A-48BB-4AC7-A609-18D530CEC835}" presName="connectorText" presStyleLbl="sibTrans2D1" presStyleIdx="1" presStyleCnt="4"/>
      <dgm:spPr/>
      <dgm:t>
        <a:bodyPr/>
        <a:lstStyle/>
        <a:p>
          <a:endParaRPr lang="en-GB"/>
        </a:p>
      </dgm:t>
    </dgm:pt>
    <dgm:pt modelId="{34BDAEB6-07C3-43CC-A5EB-021443F32996}" type="pres">
      <dgm:prSet presAssocID="{060DB4F9-AAD9-4A12-B9EF-A3969A2E64C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BC75E4F-4C75-47A2-A078-BD7C4B9D2951}" type="pres">
      <dgm:prSet presAssocID="{2916B932-36D7-40DD-9B87-3751F3A694D1}" presName="sibTrans" presStyleLbl="sibTrans2D1" presStyleIdx="2" presStyleCnt="4"/>
      <dgm:spPr/>
      <dgm:t>
        <a:bodyPr/>
        <a:lstStyle/>
        <a:p>
          <a:endParaRPr lang="en-GB"/>
        </a:p>
      </dgm:t>
    </dgm:pt>
    <dgm:pt modelId="{6DF5CFFA-4BA0-4A86-870F-1962B5DBF671}" type="pres">
      <dgm:prSet presAssocID="{2916B932-36D7-40DD-9B87-3751F3A694D1}" presName="connectorText" presStyleLbl="sibTrans2D1" presStyleIdx="2" presStyleCnt="4"/>
      <dgm:spPr/>
      <dgm:t>
        <a:bodyPr/>
        <a:lstStyle/>
        <a:p>
          <a:endParaRPr lang="en-GB"/>
        </a:p>
      </dgm:t>
    </dgm:pt>
    <dgm:pt modelId="{ADAF1A74-F6FB-4F37-ABDB-AA9452749540}" type="pres">
      <dgm:prSet presAssocID="{34A25FE9-F98D-4177-96C0-3784B66CC5E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3B19713-6287-4DCA-BFB2-EDDC3A6E71A7}" type="pres">
      <dgm:prSet presAssocID="{0E13A827-635E-4ED1-9D10-D090F36E204F}" presName="sibTrans" presStyleLbl="sibTrans2D1" presStyleIdx="3" presStyleCnt="4"/>
      <dgm:spPr/>
      <dgm:t>
        <a:bodyPr/>
        <a:lstStyle/>
        <a:p>
          <a:endParaRPr lang="en-GB"/>
        </a:p>
      </dgm:t>
    </dgm:pt>
    <dgm:pt modelId="{CC8EAA2A-442B-4DE5-A51C-5598ACF88287}" type="pres">
      <dgm:prSet presAssocID="{0E13A827-635E-4ED1-9D10-D090F36E204F}" presName="connectorText" presStyleLbl="sibTrans2D1" presStyleIdx="3" presStyleCnt="4"/>
      <dgm:spPr/>
      <dgm:t>
        <a:bodyPr/>
        <a:lstStyle/>
        <a:p>
          <a:endParaRPr lang="en-GB"/>
        </a:p>
      </dgm:t>
    </dgm:pt>
  </dgm:ptLst>
  <dgm:cxnLst>
    <dgm:cxn modelId="{71BDD837-A2C0-40D8-8D7F-AD026CBEE4E8}" srcId="{4C63D9FF-4EC7-48A2-8DD0-F78A52D8D997}" destId="{060DB4F9-AAD9-4A12-B9EF-A3969A2E64C4}" srcOrd="2" destOrd="0" parTransId="{3B9821B5-E91C-4A9C-BCD5-39B37B6865EE}" sibTransId="{2916B932-36D7-40DD-9B87-3751F3A694D1}"/>
    <dgm:cxn modelId="{67EF7F01-FE80-446E-AA61-6C2E4074B87D}" type="presOf" srcId="{0E13A827-635E-4ED1-9D10-D090F36E204F}" destId="{C3B19713-6287-4DCA-BFB2-EDDC3A6E71A7}" srcOrd="0" destOrd="0" presId="urn:microsoft.com/office/officeart/2005/8/layout/cycle2"/>
    <dgm:cxn modelId="{172C8327-BDB7-4B34-B046-0AB717E94018}" type="presOf" srcId="{59616F6A-48BB-4AC7-A609-18D530CEC835}" destId="{CB683C1F-A6F5-444F-B11C-CC8ACBE4FB49}" srcOrd="1" destOrd="0" presId="urn:microsoft.com/office/officeart/2005/8/layout/cycle2"/>
    <dgm:cxn modelId="{3FC56C4A-D6A9-449A-A3AC-BB4D75455352}" type="presOf" srcId="{2916B932-36D7-40DD-9B87-3751F3A694D1}" destId="{9BC75E4F-4C75-47A2-A078-BD7C4B9D2951}" srcOrd="0" destOrd="0" presId="urn:microsoft.com/office/officeart/2005/8/layout/cycle2"/>
    <dgm:cxn modelId="{54B966B3-882A-4D9F-B471-37BBBA1F04B0}" srcId="{4C63D9FF-4EC7-48A2-8DD0-F78A52D8D997}" destId="{34A25FE9-F98D-4177-96C0-3784B66CC5E5}" srcOrd="3" destOrd="0" parTransId="{F40E8669-8CDD-4E5F-A95B-4CFC6EA72215}" sibTransId="{0E13A827-635E-4ED1-9D10-D090F36E204F}"/>
    <dgm:cxn modelId="{723E8D2F-E224-40B3-9543-32839F9CD93A}" srcId="{4C63D9FF-4EC7-48A2-8DD0-F78A52D8D997}" destId="{D664753A-638C-471A-AC21-B41A9F69120F}" srcOrd="0" destOrd="0" parTransId="{9294DEF3-AE7F-4AC6-946B-6602747092C0}" sibTransId="{B09478FB-C46E-4CF6-8409-585CB879D7EB}"/>
    <dgm:cxn modelId="{EDC09AA1-4B75-4FAF-B2F0-A82F64C7ED11}" type="presOf" srcId="{2916B932-36D7-40DD-9B87-3751F3A694D1}" destId="{6DF5CFFA-4BA0-4A86-870F-1962B5DBF671}" srcOrd="1" destOrd="0" presId="urn:microsoft.com/office/officeart/2005/8/layout/cycle2"/>
    <dgm:cxn modelId="{C6469D54-D30A-4FEE-B67E-5CBD794D8207}" srcId="{4C63D9FF-4EC7-48A2-8DD0-F78A52D8D997}" destId="{84DC2812-ACDD-432B-8FDB-4760BF7A5A46}" srcOrd="1" destOrd="0" parTransId="{1087D08C-A37F-4A29-87B6-E925A5A74E1F}" sibTransId="{59616F6A-48BB-4AC7-A609-18D530CEC835}"/>
    <dgm:cxn modelId="{82031537-FE8E-4B6D-B5C5-36414CD8FB87}" type="presOf" srcId="{0E13A827-635E-4ED1-9D10-D090F36E204F}" destId="{CC8EAA2A-442B-4DE5-A51C-5598ACF88287}" srcOrd="1" destOrd="0" presId="urn:microsoft.com/office/officeart/2005/8/layout/cycle2"/>
    <dgm:cxn modelId="{84A8171D-014C-430D-A4E9-948C3920E72B}" type="presOf" srcId="{060DB4F9-AAD9-4A12-B9EF-A3969A2E64C4}" destId="{34BDAEB6-07C3-43CC-A5EB-021443F32996}" srcOrd="0" destOrd="0" presId="urn:microsoft.com/office/officeart/2005/8/layout/cycle2"/>
    <dgm:cxn modelId="{EBFBC596-1A63-4380-8A8F-DB08A565FD4D}" type="presOf" srcId="{B09478FB-C46E-4CF6-8409-585CB879D7EB}" destId="{5145742D-7DC4-4387-BEA3-183278059CF4}" srcOrd="1" destOrd="0" presId="urn:microsoft.com/office/officeart/2005/8/layout/cycle2"/>
    <dgm:cxn modelId="{2B2ABFEE-D1EF-4D14-8691-B48DE92EACE2}" type="presOf" srcId="{D664753A-638C-471A-AC21-B41A9F69120F}" destId="{CF6B2F16-1B12-4D15-A674-242EB1AA32C6}" srcOrd="0" destOrd="0" presId="urn:microsoft.com/office/officeart/2005/8/layout/cycle2"/>
    <dgm:cxn modelId="{0A2BB214-4FCC-48FE-950C-87E9D4170699}" type="presOf" srcId="{84DC2812-ACDD-432B-8FDB-4760BF7A5A46}" destId="{37AAB0CA-18A1-4172-95D8-AA6323CE4B53}" srcOrd="0" destOrd="0" presId="urn:microsoft.com/office/officeart/2005/8/layout/cycle2"/>
    <dgm:cxn modelId="{07B96AA2-EB0C-48E6-A909-B23E87BBE590}" type="presOf" srcId="{34A25FE9-F98D-4177-96C0-3784B66CC5E5}" destId="{ADAF1A74-F6FB-4F37-ABDB-AA9452749540}" srcOrd="0" destOrd="0" presId="urn:microsoft.com/office/officeart/2005/8/layout/cycle2"/>
    <dgm:cxn modelId="{6992AE60-777D-4B0B-85B1-22C1FABDECF7}" type="presOf" srcId="{59616F6A-48BB-4AC7-A609-18D530CEC835}" destId="{CA86E555-7BA9-48E4-8A6C-9E5C4E63BE73}" srcOrd="0" destOrd="0" presId="urn:microsoft.com/office/officeart/2005/8/layout/cycle2"/>
    <dgm:cxn modelId="{A7B4ECD1-48C4-4CAE-A476-9F58AD77D9BC}" type="presOf" srcId="{B09478FB-C46E-4CF6-8409-585CB879D7EB}" destId="{38AFEB92-0F0A-43B1-AF1A-27D9C889F2B3}" srcOrd="0" destOrd="0" presId="urn:microsoft.com/office/officeart/2005/8/layout/cycle2"/>
    <dgm:cxn modelId="{7A4C2F91-07C8-4C03-826E-3E5B3E87808E}" type="presOf" srcId="{4C63D9FF-4EC7-48A2-8DD0-F78A52D8D997}" destId="{3E6D563F-1CA3-46AF-9AD9-848C925A7CAE}" srcOrd="0" destOrd="0" presId="urn:microsoft.com/office/officeart/2005/8/layout/cycle2"/>
    <dgm:cxn modelId="{E81EDF15-A4C1-492D-AE9F-509CA40852D5}" type="presParOf" srcId="{3E6D563F-1CA3-46AF-9AD9-848C925A7CAE}" destId="{CF6B2F16-1B12-4D15-A674-242EB1AA32C6}" srcOrd="0" destOrd="0" presId="urn:microsoft.com/office/officeart/2005/8/layout/cycle2"/>
    <dgm:cxn modelId="{9A65647E-DA2C-4C71-B441-4E8F9F9DA742}" type="presParOf" srcId="{3E6D563F-1CA3-46AF-9AD9-848C925A7CAE}" destId="{38AFEB92-0F0A-43B1-AF1A-27D9C889F2B3}" srcOrd="1" destOrd="0" presId="urn:microsoft.com/office/officeart/2005/8/layout/cycle2"/>
    <dgm:cxn modelId="{FDFCC7AE-F484-4BA6-8EBF-E0231B9AC704}" type="presParOf" srcId="{38AFEB92-0F0A-43B1-AF1A-27D9C889F2B3}" destId="{5145742D-7DC4-4387-BEA3-183278059CF4}" srcOrd="0" destOrd="0" presId="urn:microsoft.com/office/officeart/2005/8/layout/cycle2"/>
    <dgm:cxn modelId="{3B2A8287-C384-44FC-9515-12ADFEBB8D14}" type="presParOf" srcId="{3E6D563F-1CA3-46AF-9AD9-848C925A7CAE}" destId="{37AAB0CA-18A1-4172-95D8-AA6323CE4B53}" srcOrd="2" destOrd="0" presId="urn:microsoft.com/office/officeart/2005/8/layout/cycle2"/>
    <dgm:cxn modelId="{198EABE8-B079-4647-B608-DEC02250B423}" type="presParOf" srcId="{3E6D563F-1CA3-46AF-9AD9-848C925A7CAE}" destId="{CA86E555-7BA9-48E4-8A6C-9E5C4E63BE73}" srcOrd="3" destOrd="0" presId="urn:microsoft.com/office/officeart/2005/8/layout/cycle2"/>
    <dgm:cxn modelId="{B0C7398B-0110-4ACA-A052-5B7BBF4DB6CC}" type="presParOf" srcId="{CA86E555-7BA9-48E4-8A6C-9E5C4E63BE73}" destId="{CB683C1F-A6F5-444F-B11C-CC8ACBE4FB49}" srcOrd="0" destOrd="0" presId="urn:microsoft.com/office/officeart/2005/8/layout/cycle2"/>
    <dgm:cxn modelId="{26B62A13-F8ED-4E8B-8D4A-5E8E213DDBB2}" type="presParOf" srcId="{3E6D563F-1CA3-46AF-9AD9-848C925A7CAE}" destId="{34BDAEB6-07C3-43CC-A5EB-021443F32996}" srcOrd="4" destOrd="0" presId="urn:microsoft.com/office/officeart/2005/8/layout/cycle2"/>
    <dgm:cxn modelId="{4B5059D6-388F-4A02-86C4-63F7AEAD23AE}" type="presParOf" srcId="{3E6D563F-1CA3-46AF-9AD9-848C925A7CAE}" destId="{9BC75E4F-4C75-47A2-A078-BD7C4B9D2951}" srcOrd="5" destOrd="0" presId="urn:microsoft.com/office/officeart/2005/8/layout/cycle2"/>
    <dgm:cxn modelId="{9E3D1907-23C7-441B-B8E2-DAD4D6239BB2}" type="presParOf" srcId="{9BC75E4F-4C75-47A2-A078-BD7C4B9D2951}" destId="{6DF5CFFA-4BA0-4A86-870F-1962B5DBF671}" srcOrd="0" destOrd="0" presId="urn:microsoft.com/office/officeart/2005/8/layout/cycle2"/>
    <dgm:cxn modelId="{0E003D11-1347-4721-A478-7B9FC43EBA45}" type="presParOf" srcId="{3E6D563F-1CA3-46AF-9AD9-848C925A7CAE}" destId="{ADAF1A74-F6FB-4F37-ABDB-AA9452749540}" srcOrd="6" destOrd="0" presId="urn:microsoft.com/office/officeart/2005/8/layout/cycle2"/>
    <dgm:cxn modelId="{91F1D65B-342C-4A44-870E-B44E6B2451C3}" type="presParOf" srcId="{3E6D563F-1CA3-46AF-9AD9-848C925A7CAE}" destId="{C3B19713-6287-4DCA-BFB2-EDDC3A6E71A7}" srcOrd="7" destOrd="0" presId="urn:microsoft.com/office/officeart/2005/8/layout/cycle2"/>
    <dgm:cxn modelId="{C0AB03F2-72EF-4ACA-A660-73D8AAD95463}" type="presParOf" srcId="{C3B19713-6287-4DCA-BFB2-EDDC3A6E71A7}" destId="{CC8EAA2A-442B-4DE5-A51C-5598ACF8828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F6B2F16-1B12-4D15-A674-242EB1AA32C6}">
      <dsp:nvSpPr>
        <dsp:cNvPr id="0" name=""/>
        <dsp:cNvSpPr/>
      </dsp:nvSpPr>
      <dsp:spPr>
        <a:xfrm>
          <a:off x="2510556" y="507"/>
          <a:ext cx="933281" cy="933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Supplier sends invoice to unique email address</a:t>
          </a:r>
        </a:p>
      </dsp:txBody>
      <dsp:txXfrm>
        <a:off x="2510556" y="507"/>
        <a:ext cx="933281" cy="933281"/>
      </dsp:txXfrm>
    </dsp:sp>
    <dsp:sp modelId="{38AFEB92-0F0A-43B1-AF1A-27D9C889F2B3}">
      <dsp:nvSpPr>
        <dsp:cNvPr id="0" name=""/>
        <dsp:cNvSpPr/>
      </dsp:nvSpPr>
      <dsp:spPr>
        <a:xfrm rot="2700000">
          <a:off x="3343636" y="800099"/>
          <a:ext cx="248007" cy="314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2700000">
        <a:off x="3343636" y="800099"/>
        <a:ext cx="248007" cy="314982"/>
      </dsp:txXfrm>
    </dsp:sp>
    <dsp:sp modelId="{37AAB0CA-18A1-4172-95D8-AA6323CE4B53}">
      <dsp:nvSpPr>
        <dsp:cNvPr id="0" name=""/>
        <dsp:cNvSpPr/>
      </dsp:nvSpPr>
      <dsp:spPr>
        <a:xfrm>
          <a:off x="3501368" y="991319"/>
          <a:ext cx="933281" cy="933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Solution picks up and validates invoice</a:t>
          </a:r>
        </a:p>
      </dsp:txBody>
      <dsp:txXfrm>
        <a:off x="3501368" y="991319"/>
        <a:ext cx="933281" cy="933281"/>
      </dsp:txXfrm>
    </dsp:sp>
    <dsp:sp modelId="{CA86E555-7BA9-48E4-8A6C-9E5C4E63BE73}">
      <dsp:nvSpPr>
        <dsp:cNvPr id="0" name=""/>
        <dsp:cNvSpPr/>
      </dsp:nvSpPr>
      <dsp:spPr>
        <a:xfrm rot="8100000">
          <a:off x="3353563" y="1790911"/>
          <a:ext cx="248007" cy="314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8100000">
        <a:off x="3353563" y="1790911"/>
        <a:ext cx="248007" cy="314982"/>
      </dsp:txXfrm>
    </dsp:sp>
    <dsp:sp modelId="{34BDAEB6-07C3-43CC-A5EB-021443F32996}">
      <dsp:nvSpPr>
        <dsp:cNvPr id="0" name=""/>
        <dsp:cNvSpPr/>
      </dsp:nvSpPr>
      <dsp:spPr>
        <a:xfrm>
          <a:off x="2510556" y="1982131"/>
          <a:ext cx="933281" cy="933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Solution issues eInvoice to public body for Matching</a:t>
          </a:r>
        </a:p>
      </dsp:txBody>
      <dsp:txXfrm>
        <a:off x="2510556" y="1982131"/>
        <a:ext cx="933281" cy="933281"/>
      </dsp:txXfrm>
    </dsp:sp>
    <dsp:sp modelId="{9BC75E4F-4C75-47A2-A078-BD7C4B9D2951}">
      <dsp:nvSpPr>
        <dsp:cNvPr id="0" name=""/>
        <dsp:cNvSpPr/>
      </dsp:nvSpPr>
      <dsp:spPr>
        <a:xfrm rot="13500000">
          <a:off x="2362751" y="1800837"/>
          <a:ext cx="248007" cy="314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3500000">
        <a:off x="2362751" y="1800837"/>
        <a:ext cx="248007" cy="314982"/>
      </dsp:txXfrm>
    </dsp:sp>
    <dsp:sp modelId="{ADAF1A74-F6FB-4F37-ABDB-AA9452749540}">
      <dsp:nvSpPr>
        <dsp:cNvPr id="0" name=""/>
        <dsp:cNvSpPr/>
      </dsp:nvSpPr>
      <dsp:spPr>
        <a:xfrm>
          <a:off x="1519744" y="991319"/>
          <a:ext cx="933281" cy="9332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Invoice is matched and payment is made to the supplier</a:t>
          </a:r>
        </a:p>
      </dsp:txBody>
      <dsp:txXfrm>
        <a:off x="1519744" y="991319"/>
        <a:ext cx="933281" cy="933281"/>
      </dsp:txXfrm>
    </dsp:sp>
    <dsp:sp modelId="{C3B19713-6287-4DCA-BFB2-EDDC3A6E71A7}">
      <dsp:nvSpPr>
        <dsp:cNvPr id="0" name=""/>
        <dsp:cNvSpPr/>
      </dsp:nvSpPr>
      <dsp:spPr>
        <a:xfrm rot="18900000">
          <a:off x="2352824" y="810026"/>
          <a:ext cx="248007" cy="314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 rot="18900000">
        <a:off x="2352824" y="810026"/>
        <a:ext cx="248007" cy="314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C1E1-61D0-4A22-84DD-C480E4F2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5354</Characters>
  <Application>Microsoft Office Word</Application>
  <DocSecurity>0</DocSecurity>
  <Lines>267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u201404</dc:creator>
  <cp:lastModifiedBy>goldief</cp:lastModifiedBy>
  <cp:revision>2</cp:revision>
  <cp:lastPrinted>2015-10-08T09:21:00Z</cp:lastPrinted>
  <dcterms:created xsi:type="dcterms:W3CDTF">2016-04-27T13:33:00Z</dcterms:created>
  <dcterms:modified xsi:type="dcterms:W3CDTF">2016-04-27T13:33:00Z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A12516449</vt:lpwstr>
  </property>
  <property fmtid="{D5CDD505-2E9C-101B-9397-08002B2CF9AE}" pid="4" name="Objective-Title">
    <vt:lpwstr>eInvoicing - Supplier Guidance document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2015-10-27T10:27:24Z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2015-10-27T10:28:07Z</vt:filetime>
  </property>
  <property fmtid="{D5CDD505-2E9C-101B-9397-08002B2CF9AE}" pid="10" name="Objective-ModificationStamp">
    <vt:filetime>2015-10-27T10:28:10Z</vt:filetime>
  </property>
  <property fmtid="{D5CDD505-2E9C-101B-9397-08002B2CF9AE}" pid="11" name="Objective-Owner">
    <vt:lpwstr>Louttit, Craig C (U201404)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Procurement:eCommerce Shared Service: Capability Development: eInvoicing: 2014-2019:</vt:lpwstr>
  </property>
  <property fmtid="{D5CDD505-2E9C-101B-9397-08002B2CF9AE}" pid="13" name="Objective-Parent">
    <vt:lpwstr>eCommerce Shared Service: Capability Development: eInvoicing: 2014-2019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